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4F5" w:rsidRPr="004E34F5" w:rsidRDefault="004E34F5" w:rsidP="004E34F5">
      <w:pPr>
        <w:spacing w:before="300" w:after="120"/>
        <w:jc w:val="center"/>
        <w:rPr>
          <w:rFonts w:ascii="Arial" w:hAnsi="Arial" w:cs="Arial"/>
          <w:b/>
          <w:sz w:val="28"/>
          <w:u w:val="single"/>
        </w:rPr>
      </w:pPr>
      <w:r w:rsidRPr="004E34F5">
        <w:rPr>
          <w:rFonts w:ascii="Arial" w:hAnsi="Arial" w:cs="Arial"/>
          <w:color w:val="222222"/>
          <w:szCs w:val="19"/>
          <w:shd w:val="clear" w:color="auto" w:fill="FFFFFF"/>
        </w:rPr>
        <w:t xml:space="preserve">Active </w:t>
      </w:r>
      <w:proofErr w:type="spellStart"/>
      <w:r w:rsidRPr="004E34F5">
        <w:rPr>
          <w:rFonts w:ascii="Arial" w:hAnsi="Arial" w:cs="Arial"/>
          <w:color w:val="222222"/>
          <w:szCs w:val="19"/>
          <w:shd w:val="clear" w:color="auto" w:fill="FFFFFF"/>
        </w:rPr>
        <w:t>tectonics</w:t>
      </w:r>
      <w:proofErr w:type="spellEnd"/>
      <w:r w:rsidRPr="004E34F5">
        <w:rPr>
          <w:rFonts w:ascii="Arial" w:hAnsi="Arial" w:cs="Arial"/>
          <w:color w:val="222222"/>
          <w:szCs w:val="19"/>
          <w:shd w:val="clear" w:color="auto" w:fill="FFFFFF"/>
        </w:rPr>
        <w:t xml:space="preserve"> of </w:t>
      </w:r>
      <w:proofErr w:type="spellStart"/>
      <w:r w:rsidRPr="004E34F5">
        <w:rPr>
          <w:rFonts w:ascii="Arial" w:hAnsi="Arial" w:cs="Arial"/>
          <w:color w:val="222222"/>
          <w:szCs w:val="19"/>
          <w:shd w:val="clear" w:color="auto" w:fill="FFFFFF"/>
        </w:rPr>
        <w:t>the</w:t>
      </w:r>
      <w:proofErr w:type="spellEnd"/>
      <w:r w:rsidRPr="004E34F5">
        <w:rPr>
          <w:rFonts w:ascii="Arial" w:hAnsi="Arial" w:cs="Arial"/>
          <w:color w:val="222222"/>
          <w:szCs w:val="19"/>
          <w:shd w:val="clear" w:color="auto" w:fill="FFFFFF"/>
        </w:rPr>
        <w:t xml:space="preserve"> Amman-</w:t>
      </w:r>
      <w:proofErr w:type="spellStart"/>
      <w:r w:rsidRPr="004E34F5">
        <w:rPr>
          <w:rFonts w:ascii="Arial" w:hAnsi="Arial" w:cs="Arial"/>
          <w:color w:val="222222"/>
          <w:szCs w:val="19"/>
          <w:shd w:val="clear" w:color="auto" w:fill="FFFFFF"/>
        </w:rPr>
        <w:t>Hallabat</w:t>
      </w:r>
      <w:proofErr w:type="spellEnd"/>
      <w:r w:rsidRPr="004E34F5">
        <w:rPr>
          <w:rFonts w:ascii="Arial" w:hAnsi="Arial" w:cs="Arial"/>
          <w:color w:val="222222"/>
          <w:szCs w:val="19"/>
          <w:shd w:val="clear" w:color="auto" w:fill="FFFFFF"/>
        </w:rPr>
        <w:t xml:space="preserve"> and </w:t>
      </w:r>
      <w:proofErr w:type="spellStart"/>
      <w:r w:rsidRPr="004E34F5">
        <w:rPr>
          <w:rFonts w:ascii="Arial" w:hAnsi="Arial" w:cs="Arial"/>
          <w:color w:val="222222"/>
          <w:szCs w:val="19"/>
          <w:shd w:val="clear" w:color="auto" w:fill="FFFFFF"/>
        </w:rPr>
        <w:t>Shueib</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structures</w:t>
      </w:r>
      <w:proofErr w:type="spellEnd"/>
      <w:r w:rsidRPr="004E34F5">
        <w:rPr>
          <w:rFonts w:ascii="Arial" w:hAnsi="Arial" w:cs="Arial"/>
          <w:color w:val="222222"/>
          <w:szCs w:val="19"/>
          <w:shd w:val="clear" w:color="auto" w:fill="FFFFFF"/>
        </w:rPr>
        <w:t xml:space="preserve"> </w:t>
      </w:r>
      <w:r w:rsidRPr="004E34F5">
        <w:rPr>
          <w:rFonts w:ascii="Arial" w:hAnsi="Arial" w:cs="Arial"/>
          <w:color w:val="222222"/>
          <w:szCs w:val="19"/>
          <w:shd w:val="clear" w:color="auto" w:fill="FFFFFF"/>
        </w:rPr>
        <w:t xml:space="preserve">(NW of </w:t>
      </w:r>
      <w:proofErr w:type="spellStart"/>
      <w:r w:rsidRPr="004E34F5">
        <w:rPr>
          <w:rFonts w:ascii="Arial" w:hAnsi="Arial" w:cs="Arial"/>
          <w:color w:val="222222"/>
          <w:szCs w:val="19"/>
          <w:shd w:val="clear" w:color="auto" w:fill="FFFFFF"/>
        </w:rPr>
        <w:t>Jordan</w:t>
      </w:r>
      <w:proofErr w:type="spellEnd"/>
      <w:r w:rsidRPr="004E34F5">
        <w:rPr>
          <w:rFonts w:ascii="Arial" w:hAnsi="Arial" w:cs="Arial"/>
          <w:color w:val="222222"/>
          <w:szCs w:val="19"/>
          <w:shd w:val="clear" w:color="auto" w:fill="FFFFFF"/>
        </w:rPr>
        <w:t xml:space="preserve">) and </w:t>
      </w:r>
      <w:proofErr w:type="spellStart"/>
      <w:r w:rsidRPr="004E34F5">
        <w:rPr>
          <w:rFonts w:ascii="Arial" w:hAnsi="Arial" w:cs="Arial"/>
          <w:color w:val="222222"/>
          <w:szCs w:val="19"/>
          <w:shd w:val="clear" w:color="auto" w:fill="FFFFFF"/>
        </w:rPr>
        <w:t>their</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implication</w:t>
      </w:r>
      <w:proofErr w:type="spellEnd"/>
      <w:r w:rsidRPr="004E34F5">
        <w:rPr>
          <w:rFonts w:ascii="Arial" w:hAnsi="Arial" w:cs="Arial"/>
          <w:color w:val="222222"/>
          <w:szCs w:val="19"/>
          <w:shd w:val="clear" w:color="auto" w:fill="FFFFFF"/>
        </w:rPr>
        <w:t xml:space="preserve"> in </w:t>
      </w:r>
      <w:proofErr w:type="spellStart"/>
      <w:r w:rsidRPr="004E34F5">
        <w:rPr>
          <w:rFonts w:ascii="Arial" w:hAnsi="Arial" w:cs="Arial"/>
          <w:color w:val="222222"/>
          <w:szCs w:val="19"/>
          <w:shd w:val="clear" w:color="auto" w:fill="FFFFFF"/>
        </w:rPr>
        <w:t>the</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Quaternary</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evolution</w:t>
      </w:r>
      <w:proofErr w:type="spellEnd"/>
      <w:r w:rsidRPr="004E34F5">
        <w:rPr>
          <w:rFonts w:ascii="Arial" w:hAnsi="Arial" w:cs="Arial"/>
          <w:color w:val="222222"/>
          <w:szCs w:val="19"/>
          <w:shd w:val="clear" w:color="auto" w:fill="FFFFFF"/>
        </w:rPr>
        <w:t xml:space="preserve"> of </w:t>
      </w:r>
      <w:proofErr w:type="spellStart"/>
      <w:r w:rsidRPr="004E34F5">
        <w:rPr>
          <w:rFonts w:ascii="Arial" w:hAnsi="Arial" w:cs="Arial"/>
          <w:color w:val="222222"/>
          <w:szCs w:val="19"/>
          <w:shd w:val="clear" w:color="auto" w:fill="FFFFFF"/>
        </w:rPr>
        <w:t>the</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Dead</w:t>
      </w:r>
      <w:proofErr w:type="spellEnd"/>
      <w:r w:rsidRPr="004E34F5">
        <w:rPr>
          <w:rFonts w:ascii="Arial" w:hAnsi="Arial" w:cs="Arial"/>
          <w:color w:val="222222"/>
          <w:szCs w:val="19"/>
          <w:shd w:val="clear" w:color="auto" w:fill="FFFFFF"/>
        </w:rPr>
        <w:t xml:space="preserve"> Sea </w:t>
      </w:r>
      <w:proofErr w:type="spellStart"/>
      <w:r w:rsidRPr="004E34F5">
        <w:rPr>
          <w:rFonts w:ascii="Arial" w:hAnsi="Arial" w:cs="Arial"/>
          <w:color w:val="222222"/>
          <w:szCs w:val="19"/>
          <w:shd w:val="clear" w:color="auto" w:fill="FFFFFF"/>
        </w:rPr>
        <w:t>Transform</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Fault</w:t>
      </w:r>
      <w:proofErr w:type="spellEnd"/>
      <w:r w:rsidRPr="004E34F5">
        <w:rPr>
          <w:rFonts w:ascii="Arial" w:hAnsi="Arial" w:cs="Arial"/>
          <w:color w:val="222222"/>
          <w:szCs w:val="19"/>
          <w:shd w:val="clear" w:color="auto" w:fill="FFFFFF"/>
        </w:rPr>
        <w:t xml:space="preserve"> </w:t>
      </w:r>
      <w:proofErr w:type="spellStart"/>
      <w:r w:rsidRPr="004E34F5">
        <w:rPr>
          <w:rFonts w:ascii="Arial" w:hAnsi="Arial" w:cs="Arial"/>
          <w:color w:val="222222"/>
          <w:szCs w:val="19"/>
          <w:shd w:val="clear" w:color="auto" w:fill="FFFFFF"/>
        </w:rPr>
        <w:t>System</w:t>
      </w:r>
      <w:proofErr w:type="spellEnd"/>
    </w:p>
    <w:p w:rsidR="004E34F5" w:rsidRPr="00FF42F2" w:rsidRDefault="00FF42F2" w:rsidP="00FF42F2">
      <w:pPr>
        <w:spacing w:before="300" w:after="120"/>
        <w:jc w:val="center"/>
        <w:rPr>
          <w:rFonts w:ascii="Arial" w:hAnsi="Arial" w:cs="Arial"/>
          <w:b/>
          <w:i/>
          <w:color w:val="222222"/>
          <w:sz w:val="19"/>
          <w:szCs w:val="19"/>
          <w:shd w:val="clear" w:color="auto" w:fill="FFFFFF"/>
        </w:rPr>
      </w:pPr>
      <w:proofErr w:type="spellStart"/>
      <w:r w:rsidRPr="00FF42F2">
        <w:rPr>
          <w:rFonts w:ascii="Arial" w:hAnsi="Arial" w:cs="Arial"/>
          <w:b/>
          <w:i/>
          <w:color w:val="222222"/>
          <w:sz w:val="19"/>
          <w:szCs w:val="19"/>
          <w:shd w:val="clear" w:color="auto" w:fill="FFFFFF"/>
        </w:rPr>
        <w:t>Mohammad</w:t>
      </w:r>
      <w:proofErr w:type="spellEnd"/>
      <w:r w:rsidRPr="00FF42F2">
        <w:rPr>
          <w:rFonts w:ascii="Arial" w:hAnsi="Arial" w:cs="Arial"/>
          <w:b/>
          <w:i/>
          <w:color w:val="222222"/>
          <w:sz w:val="19"/>
          <w:szCs w:val="19"/>
          <w:shd w:val="clear" w:color="auto" w:fill="FFFFFF"/>
        </w:rPr>
        <w:t xml:space="preserve"> </w:t>
      </w:r>
      <w:proofErr w:type="spellStart"/>
      <w:r w:rsidRPr="00FF42F2">
        <w:rPr>
          <w:rFonts w:ascii="Arial" w:hAnsi="Arial" w:cs="Arial"/>
          <w:b/>
          <w:i/>
          <w:color w:val="222222"/>
          <w:sz w:val="19"/>
          <w:szCs w:val="19"/>
          <w:shd w:val="clear" w:color="auto" w:fill="FFFFFF"/>
        </w:rPr>
        <w:t>Ali</w:t>
      </w:r>
      <w:proofErr w:type="spellEnd"/>
      <w:r w:rsidRPr="00FF42F2">
        <w:rPr>
          <w:rFonts w:ascii="Arial" w:hAnsi="Arial" w:cs="Arial"/>
          <w:b/>
          <w:i/>
          <w:color w:val="222222"/>
          <w:sz w:val="19"/>
          <w:szCs w:val="19"/>
          <w:shd w:val="clear" w:color="auto" w:fill="FFFFFF"/>
        </w:rPr>
        <w:t xml:space="preserve"> </w:t>
      </w:r>
      <w:proofErr w:type="spellStart"/>
      <w:r w:rsidRPr="00FF42F2">
        <w:rPr>
          <w:rFonts w:ascii="Arial" w:hAnsi="Arial" w:cs="Arial"/>
          <w:b/>
          <w:i/>
          <w:color w:val="222222"/>
          <w:sz w:val="19"/>
          <w:szCs w:val="19"/>
          <w:shd w:val="clear" w:color="auto" w:fill="FFFFFF"/>
        </w:rPr>
        <w:t>Muhsin</w:t>
      </w:r>
      <w:proofErr w:type="spellEnd"/>
      <w:r w:rsidRPr="00FF42F2">
        <w:rPr>
          <w:rFonts w:ascii="Arial" w:hAnsi="Arial" w:cs="Arial"/>
          <w:b/>
          <w:i/>
          <w:color w:val="222222"/>
          <w:sz w:val="19"/>
          <w:szCs w:val="19"/>
          <w:shd w:val="clear" w:color="auto" w:fill="FFFFFF"/>
        </w:rPr>
        <w:t xml:space="preserve"> </w:t>
      </w:r>
      <w:proofErr w:type="spellStart"/>
      <w:r w:rsidRPr="00FF42F2">
        <w:rPr>
          <w:rFonts w:ascii="Arial" w:hAnsi="Arial" w:cs="Arial"/>
          <w:b/>
          <w:i/>
          <w:color w:val="222222"/>
          <w:sz w:val="19"/>
          <w:szCs w:val="19"/>
          <w:shd w:val="clear" w:color="auto" w:fill="FFFFFF"/>
        </w:rPr>
        <w:t>Awabdeh</w:t>
      </w:r>
      <w:proofErr w:type="spellEnd"/>
    </w:p>
    <w:p w:rsidR="00FF42F2" w:rsidRDefault="00FF42F2" w:rsidP="00FF42F2">
      <w:pPr>
        <w:spacing w:before="300" w:after="120"/>
        <w:rPr>
          <w:rFonts w:ascii="Arial" w:hAnsi="Arial" w:cs="Arial"/>
          <w:b/>
          <w:u w:val="single"/>
        </w:rPr>
      </w:pPr>
      <w:r w:rsidRPr="00FF42F2">
        <w:rPr>
          <w:rFonts w:ascii="Arial" w:hAnsi="Arial" w:cs="Arial"/>
          <w:b/>
          <w:u w:val="single"/>
        </w:rPr>
        <w:drawing>
          <wp:inline distT="0" distB="0" distL="0" distR="0" wp14:anchorId="635EAF3B" wp14:editId="42754446">
            <wp:extent cx="5400040" cy="3032405"/>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8125" b="8384"/>
                    <a:stretch/>
                  </pic:blipFill>
                  <pic:spPr bwMode="auto">
                    <a:xfrm>
                      <a:off x="0" y="0"/>
                      <a:ext cx="5400040" cy="3032405"/>
                    </a:xfrm>
                    <a:prstGeom prst="rect">
                      <a:avLst/>
                    </a:prstGeom>
                    <a:noFill/>
                    <a:ln>
                      <a:noFill/>
                    </a:ln>
                    <a:effectLst/>
                    <a:extLst/>
                  </pic:spPr>
                </pic:pic>
              </a:graphicData>
            </a:graphic>
          </wp:inline>
        </w:drawing>
      </w:r>
    </w:p>
    <w:p w:rsidR="00FF42F2" w:rsidRDefault="00FF42F2" w:rsidP="00FF42F2">
      <w:pPr>
        <w:spacing w:before="300" w:after="120"/>
        <w:rPr>
          <w:rFonts w:ascii="Arial" w:hAnsi="Arial" w:cs="Arial"/>
          <w:b/>
          <w:u w:val="single"/>
        </w:rPr>
      </w:pPr>
      <w:proofErr w:type="spellStart"/>
      <w:r>
        <w:rPr>
          <w:rFonts w:ascii="Arial" w:hAnsi="Arial" w:cs="Arial"/>
          <w:b/>
          <w:u w:val="single"/>
        </w:rPr>
        <w:t>Abstract</w:t>
      </w:r>
      <w:proofErr w:type="spellEnd"/>
      <w:r>
        <w:rPr>
          <w:rFonts w:ascii="Arial" w:hAnsi="Arial" w:cs="Arial"/>
          <w:b/>
          <w:u w:val="single"/>
        </w:rPr>
        <w:t>:</w:t>
      </w:r>
    </w:p>
    <w:p w:rsidR="00FF42F2" w:rsidRPr="00EF15D3" w:rsidRDefault="00FF42F2" w:rsidP="00FF42F2">
      <w:pPr>
        <w:pStyle w:val="TesisNORMAL"/>
        <w:spacing w:line="340" w:lineRule="exact"/>
        <w:ind w:firstLine="0"/>
      </w:pPr>
      <w:r w:rsidRPr="00EF15D3">
        <w:t xml:space="preserve">The Dead Sea Transform Fault (DSTF) constitutes the transform plate boundary between Africa and Arabia plates and it is one of the biggest strike-slip faults in the world (ca. 1000 km long). This fault formed by mid-Cenozoic breakup of a region that had been stable until that moment; and, therefore this breakup has not been complicated by a previous history. There are still some open questions regarding this strike-slip fault. The links between its two southern segments (Wadi Araba Fault and Jordan Valley Fault), the deformation along the Lebanon and Syrian in its northern </w:t>
      </w:r>
      <w:proofErr w:type="gramStart"/>
      <w:r w:rsidRPr="00EF15D3">
        <w:t>part,</w:t>
      </w:r>
      <w:proofErr w:type="gramEnd"/>
      <w:r w:rsidRPr="00EF15D3">
        <w:t xml:space="preserve"> or the differences in offset between its southern and northern parts remain poorly known. Moreover, active tectonic studies are scarce in some areas as in the Jordanian part of the Dead Sea Transform, which has been considered tectonically inactive in Pleistocene Times. </w:t>
      </w:r>
    </w:p>
    <w:p w:rsidR="00FF42F2" w:rsidRPr="00EF15D3" w:rsidRDefault="00FF42F2" w:rsidP="00FF42F2">
      <w:pPr>
        <w:pStyle w:val="TesisNORMAL"/>
        <w:spacing w:line="340" w:lineRule="exact"/>
        <w:ind w:firstLine="0"/>
      </w:pPr>
      <w:r w:rsidRPr="00EF15D3">
        <w:t xml:space="preserve">The southern part of this fault is divided in two main segments, the Wadi Araba Fault (WAF) and the Jordan Valley Fault (JVF) connected through the Dead Sea continental pull-apart basin. Active tectonic studies in NW Jordan have traditionally focused on these DSTF structures and have discarded other prominent structures in the region like the Amman </w:t>
      </w:r>
      <w:proofErr w:type="spellStart"/>
      <w:r w:rsidRPr="00EF15D3">
        <w:t>Hallabat</w:t>
      </w:r>
      <w:proofErr w:type="spellEnd"/>
      <w:r w:rsidRPr="00EF15D3">
        <w:t xml:space="preserve"> (AHS) and the </w:t>
      </w:r>
      <w:proofErr w:type="spellStart"/>
      <w:r w:rsidRPr="00EF15D3">
        <w:t>Shueib</w:t>
      </w:r>
      <w:proofErr w:type="spellEnd"/>
      <w:r w:rsidRPr="00EF15D3">
        <w:t xml:space="preserve"> (SHS) faults system, as they have been considered inactive from the Cretaceous. However some recent studies have suggested a possible local reactivation of the northern parts of these structures. In this Thesis I carried out a detailed geological study in the NW Jordan in order to analyze the </w:t>
      </w:r>
      <w:r w:rsidRPr="00EF15D3">
        <w:lastRenderedPageBreak/>
        <w:t xml:space="preserve">Quaternary activity of the AHS and SHS based on landscape </w:t>
      </w:r>
      <w:proofErr w:type="spellStart"/>
      <w:r w:rsidRPr="00EF15D3">
        <w:t>anlysis</w:t>
      </w:r>
      <w:proofErr w:type="spellEnd"/>
      <w:r w:rsidRPr="00EF15D3">
        <w:t xml:space="preserve"> </w:t>
      </w:r>
      <w:proofErr w:type="spellStart"/>
      <w:r w:rsidRPr="00EF15D3">
        <w:t>trhought</w:t>
      </w:r>
      <w:proofErr w:type="spellEnd"/>
      <w:r w:rsidRPr="00EF15D3">
        <w:t xml:space="preserve"> geomorphic indexes, field observations, structural analyses and archaeological evidences of recent earthquakes. </w:t>
      </w:r>
    </w:p>
    <w:p w:rsidR="00FF42F2" w:rsidRPr="00EF15D3" w:rsidRDefault="00FF42F2" w:rsidP="00FF42F2">
      <w:pPr>
        <w:pStyle w:val="TesisNORMAL"/>
        <w:spacing w:line="340" w:lineRule="exact"/>
        <w:ind w:firstLine="0"/>
      </w:pPr>
      <w:r w:rsidRPr="00EF15D3">
        <w:t xml:space="preserve">From a methodological point of view I present in this Thesis two ArcGIS Add-Ins to automatically delineate swath and normalized river profiles. Both tools are programmed in Visual Basic .NET and use </w:t>
      </w:r>
      <w:proofErr w:type="spellStart"/>
      <w:r w:rsidRPr="00EF15D3">
        <w:t>ArcObjects</w:t>
      </w:r>
      <w:proofErr w:type="spellEnd"/>
      <w:r w:rsidRPr="00EF15D3">
        <w:t xml:space="preserve"> library-architecture to access directly to vector and raster data. The </w:t>
      </w:r>
      <w:proofErr w:type="spellStart"/>
      <w:r w:rsidRPr="00EF15D3">
        <w:t>SwathProfiler</w:t>
      </w:r>
      <w:proofErr w:type="spellEnd"/>
      <w:r w:rsidRPr="00EF15D3">
        <w:t xml:space="preserve"> Add-In allows analyzing the topography within a swath or band by representing maximum-minimum-mean elevations, first and third quartile, local relief and hypsometry. I have defined a new transverse hypsometric integral index (</w:t>
      </w:r>
      <w:proofErr w:type="spellStart"/>
      <w:r w:rsidRPr="00EF15D3">
        <w:t>THi</w:t>
      </w:r>
      <w:proofErr w:type="spellEnd"/>
      <w:r w:rsidRPr="00EF15D3">
        <w:t xml:space="preserve">) that analyzes hypsometry along the swath and works better in this kind of representation. The </w:t>
      </w:r>
      <w:proofErr w:type="spellStart"/>
      <w:r w:rsidRPr="00EF15D3">
        <w:t>NProfiler</w:t>
      </w:r>
      <w:proofErr w:type="spellEnd"/>
      <w:r w:rsidRPr="00EF15D3">
        <w:t xml:space="preserve"> Add-In allows representing longitudinal normalized river profiles and their related morphometric indexes as normalized concavity (C</w:t>
      </w:r>
      <w:r w:rsidRPr="00EF15D3">
        <w:rPr>
          <w:vertAlign w:val="subscript"/>
        </w:rPr>
        <w:t>T</w:t>
      </w:r>
      <w:r w:rsidRPr="00EF15D3">
        <w:t>), maximum concavity (</w:t>
      </w:r>
      <w:proofErr w:type="spellStart"/>
      <w:r w:rsidRPr="00EF15D3">
        <w:t>C</w:t>
      </w:r>
      <w:r w:rsidRPr="00EF15D3">
        <w:rPr>
          <w:vertAlign w:val="subscript"/>
        </w:rPr>
        <w:t>max</w:t>
      </w:r>
      <w:proofErr w:type="spellEnd"/>
      <w:r w:rsidRPr="00EF15D3">
        <w:t>) and length of maximum concavity (</w:t>
      </w:r>
      <w:proofErr w:type="spellStart"/>
      <w:r w:rsidRPr="00EF15D3">
        <w:t>L</w:t>
      </w:r>
      <w:r w:rsidRPr="00EF15D3">
        <w:rPr>
          <w:vertAlign w:val="subscript"/>
        </w:rPr>
        <w:t>max</w:t>
      </w:r>
      <w:proofErr w:type="spellEnd"/>
      <w:r w:rsidRPr="00EF15D3">
        <w:t xml:space="preserve">). Both tools facilitate the spatial analysis of topography and drainage networks directly in a GIS environment as </w:t>
      </w:r>
      <w:proofErr w:type="spellStart"/>
      <w:r w:rsidRPr="00EF15D3">
        <w:t>ArcMap</w:t>
      </w:r>
      <w:proofErr w:type="spellEnd"/>
      <w:r w:rsidRPr="00EF15D3">
        <w:t xml:space="preserve"> and provide graphical outputs in image (jpg) and </w:t>
      </w:r>
      <w:proofErr w:type="spellStart"/>
      <w:r w:rsidRPr="00EF15D3">
        <w:t>vectorial</w:t>
      </w:r>
      <w:proofErr w:type="spellEnd"/>
      <w:r w:rsidRPr="00EF15D3">
        <w:t xml:space="preserve"> (</w:t>
      </w:r>
      <w:proofErr w:type="spellStart"/>
      <w:r w:rsidRPr="00EF15D3">
        <w:t>wmf</w:t>
      </w:r>
      <w:proofErr w:type="spellEnd"/>
      <w:r w:rsidRPr="00EF15D3">
        <w:t>) formats.</w:t>
      </w:r>
    </w:p>
    <w:p w:rsidR="00FF42F2" w:rsidRPr="00EF15D3" w:rsidRDefault="00FF42F2" w:rsidP="00FF42F2">
      <w:pPr>
        <w:pStyle w:val="TesisNORMAL"/>
        <w:spacing w:line="340" w:lineRule="exact"/>
        <w:ind w:firstLine="0"/>
      </w:pPr>
      <w:r w:rsidRPr="00EF15D3">
        <w:t xml:space="preserve">The landscape analysis presented in this Thesis focused in the eastern margin of the Dead Sea, with the intention of analyzing the effects that the Quaternary activity of the Dead Sea Transform Fault (DSTF) produces in the landscape and in the drainage network. This landscape analysis has two well-differentiated parts. First I analyzed the general landscape pattern through the application of spatial-based geomorphic indices as the slope, surface roughness, hypsometry and topographic swath profiles. With this analysis I aimed to describe and evaluate the general stage of landscape evolution in the study area, and examine the links between the tectonic structures and the general topographic patterns. These results of these geomorphic parameters show a good correlation with the active structures of the study area that act as boundaries for erosion processes. They also highlight a clear erosion wave advancing eastwards from the Dead Sea into the </w:t>
      </w:r>
      <w:proofErr w:type="spellStart"/>
      <w:r w:rsidRPr="00EF15D3">
        <w:t>TransJordanian</w:t>
      </w:r>
      <w:proofErr w:type="spellEnd"/>
      <w:r w:rsidRPr="00EF15D3">
        <w:t xml:space="preserve"> Plateau (TJP). Moreover, </w:t>
      </w:r>
      <w:r w:rsidRPr="00EF15D3">
        <w:t>these analyses</w:t>
      </w:r>
      <w:r w:rsidRPr="00EF15D3">
        <w:t xml:space="preserve"> lacks clear evidences of a northern structure closing the Dead Sea apart of the NW-SE normal faults related to the AHS and SHS. Secondly, I analyzed several geomorphic indexes in order detect different pattern and highlight differences that could be due to dissimilar tectonic activity along the study area. The geomorphic indexes suggest that the study area is very young and it is in a transient state of landscape development. Normalized profiles have characteristics convex or linear-convex shapes, as well as the hypsometric curves. Area-slope plots have high </w:t>
      </w:r>
      <w:proofErr w:type="spellStart"/>
      <w:r w:rsidRPr="00EF15D3">
        <w:t>Ksn</w:t>
      </w:r>
      <w:proofErr w:type="spellEnd"/>
      <w:r w:rsidRPr="00EF15D3">
        <w:t xml:space="preserve"> values and lacks clear linear correlation, especially in their middles and lower parts (near mouths), due to the transient state of the analyzed rivers.</w:t>
      </w:r>
    </w:p>
    <w:p w:rsidR="00FF42F2" w:rsidRPr="00EF15D3" w:rsidRDefault="00FF42F2" w:rsidP="00FF42F2">
      <w:pPr>
        <w:pStyle w:val="TesisNORMAL"/>
        <w:spacing w:line="340" w:lineRule="exact"/>
        <w:ind w:firstLine="0"/>
      </w:pPr>
      <w:r w:rsidRPr="00EF15D3">
        <w:t xml:space="preserve">The field campaigns made in this Thesis have revealed that AHS and SHS structures present clear Quaternary activity and accommodate a small part of the deformation of </w:t>
      </w:r>
      <w:r w:rsidRPr="00EF15D3">
        <w:lastRenderedPageBreak/>
        <w:t>the southern DSTF. The southwestern part of the AHS acts in the Quaternary as the northernmost continuation of the WAF, whereas the SHS works as a transfer of NW-SE normal faults with low to moderate throws that connects this structure with the JVF.</w:t>
      </w:r>
    </w:p>
    <w:p w:rsidR="00FF42F2" w:rsidRPr="00EF15D3" w:rsidRDefault="00FF42F2" w:rsidP="00FF42F2">
      <w:pPr>
        <w:pStyle w:val="TesisNORMAL"/>
        <w:spacing w:line="340" w:lineRule="exact"/>
        <w:ind w:firstLine="0"/>
      </w:pPr>
      <w:r w:rsidRPr="00EF15D3">
        <w:t xml:space="preserve">The stress analysis based on fault-slip data for two of the Amman </w:t>
      </w:r>
      <w:proofErr w:type="spellStart"/>
      <w:r w:rsidRPr="00EF15D3">
        <w:t>Hallabat</w:t>
      </w:r>
      <w:proofErr w:type="spellEnd"/>
      <w:r w:rsidRPr="00EF15D3">
        <w:t xml:space="preserve"> (AHF) and </w:t>
      </w:r>
      <w:proofErr w:type="spellStart"/>
      <w:r w:rsidRPr="00EF15D3">
        <w:t>Shueib</w:t>
      </w:r>
      <w:proofErr w:type="spellEnd"/>
      <w:r w:rsidRPr="00EF15D3">
        <w:t xml:space="preserve"> (SHF) structures suggests that most of the structures are coherent with the present-day stress pattern associated to the Dead Sea fault system. In most of the field stations there is a clear overprint of new striations over the older ones. Present-day stress in the region has horizontal to sub-horizontal maximum and minimum compressive axes (σ1 and σ3), striking NNW-SSE and ENE-SWS respectively, and a vertical intermediate stress axis (σ2). These new findings suggest a rejuvenation of the AHF and the SHF in the Quaternary in the context of the Dead Sea Transform Fault (DSTF) tectonic activity.</w:t>
      </w:r>
    </w:p>
    <w:p w:rsidR="00FF42F2" w:rsidRPr="00EF15D3" w:rsidRDefault="00FF42F2" w:rsidP="00FF42F2">
      <w:pPr>
        <w:pStyle w:val="TesisNORMAL"/>
        <w:spacing w:line="340" w:lineRule="exact"/>
        <w:ind w:firstLine="0"/>
      </w:pPr>
      <w:r w:rsidRPr="00EF15D3">
        <w:t>A seismogenic character of the AHS can be claimed from the damage found in the archaeological site of Tall el-</w:t>
      </w:r>
      <w:proofErr w:type="spellStart"/>
      <w:r w:rsidRPr="00EF15D3">
        <w:t>Hamman</w:t>
      </w:r>
      <w:proofErr w:type="spellEnd"/>
      <w:r w:rsidRPr="00EF15D3">
        <w:t>, which has been recently interpreted as the ancient city of Sodom. The destruction of this city is attributed to bi</w:t>
      </w:r>
      <w:r>
        <w:t xml:space="preserve">g </w:t>
      </w:r>
      <w:proofErr w:type="gramStart"/>
      <w:r w:rsidRPr="00EF15D3">
        <w:t>earthquake, that</w:t>
      </w:r>
      <w:proofErr w:type="gramEnd"/>
      <w:r w:rsidRPr="00EF15D3">
        <w:t xml:space="preserve"> may be also related with this structure. </w:t>
      </w:r>
    </w:p>
    <w:p w:rsidR="00FF42F2" w:rsidRPr="00BD6778" w:rsidRDefault="00FF42F2" w:rsidP="00FF42F2">
      <w:pPr>
        <w:pStyle w:val="TesisNORMAL"/>
        <w:spacing w:line="340" w:lineRule="exact"/>
        <w:ind w:firstLine="0"/>
      </w:pPr>
      <w:r w:rsidRPr="00EF15D3">
        <w:t>The NW-SE normal faults bounding the AHS and SHS could merge into a single fault plane that will act as the northern closure of the Dead Sea. Future geophysical research in the area should pay attention to these active structures as research in sou</w:t>
      </w:r>
      <w:r>
        <w:t xml:space="preserve">thern areas has </w:t>
      </w:r>
      <w:r>
        <w:t>proved</w:t>
      </w:r>
      <w:r>
        <w:t xml:space="preserve"> fruitless.</w:t>
      </w:r>
    </w:p>
    <w:p w:rsidR="00FF42F2" w:rsidRDefault="00FF42F2" w:rsidP="004E34F5">
      <w:pPr>
        <w:spacing w:before="300" w:after="120"/>
        <w:rPr>
          <w:rFonts w:ascii="Arial" w:hAnsi="Arial" w:cs="Arial"/>
          <w:b/>
          <w:u w:val="single"/>
        </w:rPr>
      </w:pPr>
      <w:r>
        <w:rPr>
          <w:rFonts w:ascii="Arial" w:hAnsi="Arial" w:cs="Arial"/>
          <w:b/>
          <w:u w:val="single"/>
        </w:rPr>
        <w:t>Breve reseña curricular:</w:t>
      </w:r>
    </w:p>
    <w:p w:rsidR="00FF42F2" w:rsidRPr="007F2591" w:rsidRDefault="00FF42F2" w:rsidP="00FF42F2">
      <w:pPr>
        <w:pStyle w:val="TesisNORMAL"/>
        <w:spacing w:line="340" w:lineRule="exact"/>
        <w:ind w:firstLine="0"/>
        <w:rPr>
          <w:szCs w:val="24"/>
          <w:lang w:val="es-ES"/>
        </w:rPr>
      </w:pPr>
      <w:proofErr w:type="spellStart"/>
      <w:r w:rsidRPr="007F2591">
        <w:rPr>
          <w:lang w:val="es-ES"/>
        </w:rPr>
        <w:t>Mohammad</w:t>
      </w:r>
      <w:proofErr w:type="spellEnd"/>
      <w:r w:rsidRPr="007F2591">
        <w:rPr>
          <w:lang w:val="es-ES"/>
        </w:rPr>
        <w:t xml:space="preserve"> </w:t>
      </w:r>
      <w:proofErr w:type="spellStart"/>
      <w:r w:rsidRPr="007F2591">
        <w:rPr>
          <w:lang w:val="es-ES"/>
        </w:rPr>
        <w:t>Ali</w:t>
      </w:r>
      <w:proofErr w:type="spellEnd"/>
      <w:r w:rsidRPr="007F2591">
        <w:rPr>
          <w:lang w:val="es-ES"/>
        </w:rPr>
        <w:t xml:space="preserve"> </w:t>
      </w:r>
      <w:proofErr w:type="spellStart"/>
      <w:r w:rsidRPr="007F2591">
        <w:rPr>
          <w:lang w:val="es-ES"/>
        </w:rPr>
        <w:t>Muhsin</w:t>
      </w:r>
      <w:proofErr w:type="spellEnd"/>
      <w:r w:rsidRPr="007F2591">
        <w:rPr>
          <w:lang w:val="es-ES"/>
        </w:rPr>
        <w:t xml:space="preserve"> </w:t>
      </w:r>
      <w:proofErr w:type="spellStart"/>
      <w:r w:rsidRPr="007F2591">
        <w:rPr>
          <w:lang w:val="es-ES"/>
        </w:rPr>
        <w:t>Awabdeh</w:t>
      </w:r>
      <w:proofErr w:type="spellEnd"/>
      <w:r w:rsidRPr="007F2591">
        <w:rPr>
          <w:lang w:val="es-ES"/>
        </w:rPr>
        <w:t xml:space="preserve"> es licenciado en Geología aplicada por la Universi</w:t>
      </w:r>
      <w:r w:rsidR="007F2591">
        <w:rPr>
          <w:lang w:val="es-ES"/>
        </w:rPr>
        <w:t>dad de Jordania (Am</w:t>
      </w:r>
      <w:r w:rsidRPr="007F2591">
        <w:rPr>
          <w:lang w:val="es-ES"/>
        </w:rPr>
        <w:t xml:space="preserve">man, Jordania) en 2006, Máster de </w:t>
      </w:r>
      <w:r w:rsidR="007F2591">
        <w:rPr>
          <w:szCs w:val="24"/>
          <w:lang w:val="es-ES"/>
        </w:rPr>
        <w:t>Geología Aplicada</w:t>
      </w:r>
      <w:r w:rsidRPr="007F2591">
        <w:rPr>
          <w:szCs w:val="24"/>
          <w:lang w:val="es-ES"/>
        </w:rPr>
        <w:t xml:space="preserve"> por la Universidad de Jordania en 2010, y cuenta con el Diploma de Estudios avanzados (DEA) por la Universidad de Granada dentro del programa de Doctorado de Ciencias de la Tierra en 2012. El comienzo de su actividad investigadora está ligado a la consecución de </w:t>
      </w:r>
      <w:r w:rsidR="007F2591">
        <w:rPr>
          <w:szCs w:val="24"/>
          <w:lang w:val="es-ES"/>
        </w:rPr>
        <w:t xml:space="preserve">una beca Erasmus </w:t>
      </w:r>
      <w:proofErr w:type="spellStart"/>
      <w:r w:rsidR="007F2591">
        <w:rPr>
          <w:szCs w:val="24"/>
          <w:lang w:val="es-ES"/>
        </w:rPr>
        <w:t>Mundus</w:t>
      </w:r>
      <w:proofErr w:type="spellEnd"/>
      <w:r w:rsidR="007F2591">
        <w:rPr>
          <w:szCs w:val="24"/>
          <w:lang w:val="es-ES"/>
        </w:rPr>
        <w:t xml:space="preserve"> en 2009, y una beca de investigación posterior de la </w:t>
      </w:r>
      <w:r w:rsidRPr="007F2591">
        <w:rPr>
          <w:szCs w:val="24"/>
          <w:lang w:val="es-ES"/>
        </w:rPr>
        <w:t xml:space="preserve">Universidad de </w:t>
      </w:r>
      <w:proofErr w:type="spellStart"/>
      <w:r w:rsidRPr="007F2591">
        <w:rPr>
          <w:szCs w:val="24"/>
          <w:lang w:val="es-ES"/>
        </w:rPr>
        <w:t>Tafila</w:t>
      </w:r>
      <w:proofErr w:type="spellEnd"/>
      <w:r w:rsidRPr="007F2591">
        <w:rPr>
          <w:szCs w:val="24"/>
          <w:lang w:val="es-ES"/>
        </w:rPr>
        <w:t xml:space="preserve"> (Jordania) </w:t>
      </w:r>
      <w:r w:rsidR="007F2591" w:rsidRPr="007F2591">
        <w:rPr>
          <w:szCs w:val="24"/>
          <w:lang w:val="es-ES"/>
        </w:rPr>
        <w:t xml:space="preserve">en 2013. Es autor de varias publicaciones internacionales, así como numerosas aportaciones a congresos y revistas nacionales. Su campo de investigación se centra en la geología </w:t>
      </w:r>
      <w:r w:rsidR="007F2591">
        <w:rPr>
          <w:szCs w:val="24"/>
          <w:lang w:val="es-ES"/>
        </w:rPr>
        <w:t>e</w:t>
      </w:r>
      <w:r w:rsidR="007F2591" w:rsidRPr="007F2591">
        <w:rPr>
          <w:szCs w:val="24"/>
          <w:lang w:val="es-ES"/>
        </w:rPr>
        <w:t xml:space="preserve">structural y tectónica </w:t>
      </w:r>
      <w:r w:rsidR="007F2591">
        <w:rPr>
          <w:szCs w:val="24"/>
          <w:lang w:val="es-ES"/>
        </w:rPr>
        <w:t>activa</w:t>
      </w:r>
      <w:r w:rsidR="007F2591" w:rsidRPr="007F2591">
        <w:rPr>
          <w:szCs w:val="24"/>
          <w:lang w:val="es-ES"/>
        </w:rPr>
        <w:t xml:space="preserve">, y en el análisis del relieve mediante índices geomorfológicos y SIG. Su principal </w:t>
      </w:r>
      <w:r w:rsidR="007F2591">
        <w:rPr>
          <w:szCs w:val="24"/>
          <w:lang w:val="es-ES"/>
        </w:rPr>
        <w:t>zona</w:t>
      </w:r>
      <w:r w:rsidR="007F2591" w:rsidRPr="007F2591">
        <w:rPr>
          <w:szCs w:val="24"/>
          <w:lang w:val="es-ES"/>
        </w:rPr>
        <w:t xml:space="preserve"> </w:t>
      </w:r>
      <w:r w:rsidR="007F2591">
        <w:rPr>
          <w:szCs w:val="24"/>
          <w:lang w:val="es-ES"/>
        </w:rPr>
        <w:t>de trabajo se localiza</w:t>
      </w:r>
      <w:r w:rsidR="007F2591" w:rsidRPr="007F2591">
        <w:rPr>
          <w:szCs w:val="24"/>
          <w:lang w:val="es-ES"/>
        </w:rPr>
        <w:t xml:space="preserve"> en Jordania, en la zona central del sector sur de la transformante del Mar Muerto, una de las mayores fallas de salto en dirección del mundo. Su experiencia profesional incluye labores docentes como profesor ayudante en la Universidad de Jordania, Asistente Jefe de la sección de </w:t>
      </w:r>
      <w:r w:rsidR="007F2591">
        <w:rPr>
          <w:szCs w:val="24"/>
          <w:lang w:val="es-ES"/>
        </w:rPr>
        <w:t>Geología</w:t>
      </w:r>
      <w:r w:rsidR="007F2591" w:rsidRPr="007F2591">
        <w:rPr>
          <w:szCs w:val="24"/>
          <w:lang w:val="es-ES"/>
        </w:rPr>
        <w:t xml:space="preserve"> de la  </w:t>
      </w:r>
      <w:r w:rsidR="007F2591" w:rsidRPr="007F2591">
        <w:rPr>
          <w:szCs w:val="24"/>
          <w:lang w:val="es-ES"/>
        </w:rPr>
        <w:t xml:space="preserve">Royal </w:t>
      </w:r>
      <w:proofErr w:type="spellStart"/>
      <w:r w:rsidR="007F2591" w:rsidRPr="007F2591">
        <w:rPr>
          <w:szCs w:val="24"/>
          <w:lang w:val="es-ES"/>
        </w:rPr>
        <w:t>Scientific</w:t>
      </w:r>
      <w:proofErr w:type="spellEnd"/>
      <w:r w:rsidR="007F2591" w:rsidRPr="007F2591">
        <w:rPr>
          <w:szCs w:val="24"/>
          <w:lang w:val="es-ES"/>
        </w:rPr>
        <w:t xml:space="preserve"> </w:t>
      </w:r>
      <w:proofErr w:type="spellStart"/>
      <w:r w:rsidR="007F2591" w:rsidRPr="007F2591">
        <w:rPr>
          <w:szCs w:val="24"/>
          <w:lang w:val="es-ES"/>
        </w:rPr>
        <w:t>Society</w:t>
      </w:r>
      <w:proofErr w:type="spellEnd"/>
      <w:r w:rsidR="007F2591" w:rsidRPr="007F2591">
        <w:rPr>
          <w:szCs w:val="24"/>
          <w:lang w:val="es-ES"/>
        </w:rPr>
        <w:t xml:space="preserve"> (RSS)</w:t>
      </w:r>
      <w:r w:rsidR="007F2591" w:rsidRPr="007F2591">
        <w:rPr>
          <w:szCs w:val="24"/>
          <w:lang w:val="es-ES"/>
        </w:rPr>
        <w:t xml:space="preserve"> de Jordania, y manager local y coordinador del grupo ISASTUR en Al </w:t>
      </w:r>
      <w:proofErr w:type="spellStart"/>
      <w:r w:rsidR="007F2591" w:rsidRPr="007F2591">
        <w:rPr>
          <w:szCs w:val="24"/>
          <w:lang w:val="es-ES"/>
        </w:rPr>
        <w:t>Tafila</w:t>
      </w:r>
      <w:proofErr w:type="spellEnd"/>
      <w:r w:rsidR="007F2591" w:rsidRPr="007F2591">
        <w:rPr>
          <w:szCs w:val="24"/>
          <w:lang w:val="es-ES"/>
        </w:rPr>
        <w:t xml:space="preserve"> (Jordania). Actualmente es profesor asistente en la Universidad </w:t>
      </w:r>
      <w:r w:rsidR="007F2591" w:rsidRPr="007F2591">
        <w:rPr>
          <w:szCs w:val="24"/>
          <w:lang w:val="es-ES"/>
        </w:rPr>
        <w:lastRenderedPageBreak/>
        <w:t xml:space="preserve">de </w:t>
      </w:r>
      <w:proofErr w:type="spellStart"/>
      <w:r w:rsidR="007F2591" w:rsidRPr="007F2591">
        <w:rPr>
          <w:szCs w:val="24"/>
          <w:lang w:val="es-ES"/>
        </w:rPr>
        <w:t>Tafila</w:t>
      </w:r>
      <w:proofErr w:type="spellEnd"/>
      <w:r w:rsidR="007F2591" w:rsidRPr="007F2591">
        <w:rPr>
          <w:szCs w:val="24"/>
          <w:lang w:val="es-ES"/>
        </w:rPr>
        <w:t xml:space="preserve"> (Jordania), donde imparte su labor docente </w:t>
      </w:r>
      <w:proofErr w:type="spellStart"/>
      <w:proofErr w:type="gramStart"/>
      <w:r w:rsidR="007F2591" w:rsidRPr="007F2591">
        <w:rPr>
          <w:szCs w:val="24"/>
          <w:lang w:val="es-ES"/>
        </w:rPr>
        <w:t>y</w:t>
      </w:r>
      <w:proofErr w:type="spellEnd"/>
      <w:proofErr w:type="gramEnd"/>
      <w:r w:rsidR="007F2591" w:rsidRPr="007F2591">
        <w:rPr>
          <w:szCs w:val="24"/>
          <w:lang w:val="es-ES"/>
        </w:rPr>
        <w:t xml:space="preserve"> investigadora desde Septiembre de 2015.</w:t>
      </w:r>
      <w:r w:rsidR="007F2591">
        <w:rPr>
          <w:szCs w:val="24"/>
        </w:rPr>
        <w:t xml:space="preserve"> </w:t>
      </w:r>
    </w:p>
    <w:p w:rsidR="00727892" w:rsidRPr="004E34F5" w:rsidRDefault="004E34F5" w:rsidP="004E34F5">
      <w:pPr>
        <w:spacing w:before="300" w:after="120"/>
        <w:rPr>
          <w:rFonts w:ascii="Arial" w:hAnsi="Arial" w:cs="Arial"/>
          <w:b/>
          <w:u w:val="single"/>
        </w:rPr>
      </w:pPr>
      <w:r w:rsidRPr="004E34F5">
        <w:rPr>
          <w:rFonts w:ascii="Arial" w:hAnsi="Arial" w:cs="Arial"/>
          <w:b/>
          <w:u w:val="single"/>
        </w:rPr>
        <w:t>Publicaciones SCI:</w:t>
      </w:r>
    </w:p>
    <w:p w:rsidR="004E34F5" w:rsidRPr="004E34F5" w:rsidRDefault="004E34F5" w:rsidP="004E34F5">
      <w:pPr>
        <w:pStyle w:val="Textoindependiente"/>
        <w:numPr>
          <w:ilvl w:val="0"/>
          <w:numId w:val="1"/>
        </w:numPr>
        <w:spacing w:before="0" w:after="160"/>
        <w:rPr>
          <w:rFonts w:cs="Arial"/>
          <w:sz w:val="22"/>
          <w:szCs w:val="24"/>
        </w:rPr>
      </w:pPr>
      <w:r w:rsidRPr="004E34F5">
        <w:rPr>
          <w:rFonts w:cs="Arial"/>
          <w:sz w:val="22"/>
          <w:szCs w:val="24"/>
        </w:rPr>
        <w:t xml:space="preserve">Perez-Peña, J.V., </w:t>
      </w:r>
      <w:proofErr w:type="spellStart"/>
      <w:r w:rsidRPr="004E34F5">
        <w:rPr>
          <w:rFonts w:cs="Arial"/>
          <w:b/>
          <w:sz w:val="22"/>
          <w:szCs w:val="24"/>
        </w:rPr>
        <w:t>AlAwabdeh</w:t>
      </w:r>
      <w:proofErr w:type="spellEnd"/>
      <w:r w:rsidRPr="004E34F5">
        <w:rPr>
          <w:rFonts w:cs="Arial"/>
          <w:b/>
          <w:sz w:val="22"/>
          <w:szCs w:val="24"/>
        </w:rPr>
        <w:t>, M.</w:t>
      </w:r>
      <w:r w:rsidRPr="004E34F5">
        <w:rPr>
          <w:rFonts w:cs="Arial"/>
          <w:sz w:val="22"/>
          <w:szCs w:val="24"/>
        </w:rPr>
        <w:t xml:space="preserve">, </w:t>
      </w:r>
      <w:proofErr w:type="spellStart"/>
      <w:r w:rsidRPr="004E34F5">
        <w:rPr>
          <w:rFonts w:cs="Arial"/>
          <w:sz w:val="22"/>
          <w:szCs w:val="24"/>
        </w:rPr>
        <w:t>Azañon</w:t>
      </w:r>
      <w:proofErr w:type="spellEnd"/>
      <w:r w:rsidRPr="004E34F5">
        <w:rPr>
          <w:rFonts w:cs="Arial"/>
          <w:sz w:val="22"/>
          <w:szCs w:val="24"/>
        </w:rPr>
        <w:t xml:space="preserve">, J.M., </w:t>
      </w:r>
      <w:proofErr w:type="spellStart"/>
      <w:r w:rsidRPr="004E34F5">
        <w:rPr>
          <w:rFonts w:cs="Arial"/>
          <w:sz w:val="22"/>
          <w:szCs w:val="24"/>
        </w:rPr>
        <w:t>Galve</w:t>
      </w:r>
      <w:proofErr w:type="spellEnd"/>
      <w:r w:rsidRPr="004E34F5">
        <w:rPr>
          <w:rFonts w:cs="Arial"/>
          <w:sz w:val="22"/>
          <w:szCs w:val="24"/>
        </w:rPr>
        <w:t xml:space="preserve">, J.P. Booth-Ream G., </w:t>
      </w:r>
      <w:proofErr w:type="spellStart"/>
      <w:r w:rsidRPr="004E34F5">
        <w:rPr>
          <w:rFonts w:cs="Arial"/>
          <w:sz w:val="22"/>
          <w:szCs w:val="24"/>
        </w:rPr>
        <w:t>Notti</w:t>
      </w:r>
      <w:proofErr w:type="spellEnd"/>
      <w:r w:rsidRPr="004E34F5">
        <w:rPr>
          <w:rFonts w:cs="Arial"/>
          <w:sz w:val="22"/>
          <w:szCs w:val="24"/>
        </w:rPr>
        <w:t>, D. (</w:t>
      </w:r>
      <w:r w:rsidRPr="004E34F5">
        <w:rPr>
          <w:rFonts w:cs="Arial"/>
          <w:b/>
          <w:i/>
          <w:sz w:val="22"/>
          <w:szCs w:val="24"/>
        </w:rPr>
        <w:t>In Press</w:t>
      </w:r>
      <w:r w:rsidRPr="004E34F5">
        <w:rPr>
          <w:rFonts w:cs="Arial"/>
          <w:sz w:val="22"/>
          <w:szCs w:val="24"/>
        </w:rPr>
        <w:t xml:space="preserve">). </w:t>
      </w:r>
      <w:proofErr w:type="spellStart"/>
      <w:r w:rsidRPr="004E34F5">
        <w:rPr>
          <w:rFonts w:eastAsia="Times New Roman" w:cs="Arial"/>
          <w:spacing w:val="0"/>
          <w:sz w:val="22"/>
          <w:szCs w:val="24"/>
          <w:lang w:eastAsia="es-ES"/>
        </w:rPr>
        <w:t>SwathProfiler</w:t>
      </w:r>
      <w:proofErr w:type="spellEnd"/>
      <w:r w:rsidRPr="004E34F5">
        <w:rPr>
          <w:rFonts w:eastAsia="Times New Roman" w:cs="Arial"/>
          <w:spacing w:val="0"/>
          <w:sz w:val="22"/>
          <w:szCs w:val="24"/>
          <w:lang w:eastAsia="es-ES"/>
        </w:rPr>
        <w:t xml:space="preserve"> and </w:t>
      </w:r>
      <w:proofErr w:type="spellStart"/>
      <w:r w:rsidRPr="004E34F5">
        <w:rPr>
          <w:rFonts w:eastAsia="Times New Roman" w:cs="Arial"/>
          <w:spacing w:val="0"/>
          <w:sz w:val="22"/>
          <w:szCs w:val="24"/>
          <w:lang w:eastAsia="es-ES"/>
        </w:rPr>
        <w:t>NProfiler</w:t>
      </w:r>
      <w:proofErr w:type="spellEnd"/>
      <w:r w:rsidRPr="004E34F5">
        <w:rPr>
          <w:rFonts w:eastAsia="Times New Roman" w:cs="Arial"/>
          <w:spacing w:val="0"/>
          <w:sz w:val="22"/>
          <w:szCs w:val="24"/>
          <w:lang w:eastAsia="es-ES"/>
        </w:rPr>
        <w:t xml:space="preserve">: Two new ArcGIS Add-ins for the automatic extraction of swath and normalized river profiles. </w:t>
      </w:r>
      <w:r w:rsidRPr="004E34F5">
        <w:rPr>
          <w:rFonts w:cs="Arial"/>
          <w:b/>
          <w:i/>
          <w:sz w:val="22"/>
          <w:szCs w:val="24"/>
        </w:rPr>
        <w:t>Computer &amp; Geosciences</w:t>
      </w:r>
      <w:r w:rsidRPr="004E34F5">
        <w:rPr>
          <w:rFonts w:cs="Arial"/>
          <w:b/>
          <w:sz w:val="22"/>
          <w:szCs w:val="24"/>
        </w:rPr>
        <w:t>.</w:t>
      </w:r>
    </w:p>
    <w:p w:rsidR="004E34F5" w:rsidRPr="004E34F5" w:rsidRDefault="004E34F5" w:rsidP="004E34F5">
      <w:pPr>
        <w:pStyle w:val="NormalWeb"/>
        <w:numPr>
          <w:ilvl w:val="0"/>
          <w:numId w:val="1"/>
        </w:numPr>
        <w:spacing w:before="0" w:beforeAutospacing="0" w:after="160" w:afterAutospacing="0"/>
        <w:jc w:val="both"/>
        <w:rPr>
          <w:rFonts w:ascii="Arial" w:hAnsi="Arial" w:cs="Arial"/>
          <w:b/>
          <w:bCs/>
          <w:noProof/>
          <w:color w:val="000000"/>
          <w:szCs w:val="28"/>
          <w:lang w:val="en-US"/>
        </w:rPr>
      </w:pPr>
      <w:r w:rsidRPr="004E34F5">
        <w:rPr>
          <w:rFonts w:ascii="Arial" w:hAnsi="Arial" w:cs="Arial"/>
          <w:b/>
          <w:sz w:val="22"/>
          <w:lang w:val="en-US"/>
        </w:rPr>
        <w:t>Al-</w:t>
      </w:r>
      <w:proofErr w:type="spellStart"/>
      <w:r w:rsidRPr="004E34F5">
        <w:rPr>
          <w:rFonts w:ascii="Arial" w:hAnsi="Arial" w:cs="Arial"/>
          <w:b/>
          <w:sz w:val="22"/>
          <w:lang w:val="en-US"/>
        </w:rPr>
        <w:t>Awabdeh</w:t>
      </w:r>
      <w:proofErr w:type="spellEnd"/>
      <w:r w:rsidRPr="004E34F5">
        <w:rPr>
          <w:rFonts w:ascii="Arial" w:hAnsi="Arial" w:cs="Arial"/>
          <w:sz w:val="22"/>
          <w:lang w:val="en-US"/>
        </w:rPr>
        <w:t xml:space="preserve">, M., </w:t>
      </w:r>
      <w:proofErr w:type="spellStart"/>
      <w:r w:rsidRPr="004E34F5">
        <w:rPr>
          <w:rFonts w:ascii="Arial" w:hAnsi="Arial" w:cs="Arial"/>
          <w:sz w:val="22"/>
          <w:lang w:val="en-US"/>
        </w:rPr>
        <w:t>Azañón</w:t>
      </w:r>
      <w:proofErr w:type="spellEnd"/>
      <w:r w:rsidRPr="004E34F5">
        <w:rPr>
          <w:rFonts w:ascii="Arial" w:hAnsi="Arial" w:cs="Arial"/>
          <w:sz w:val="22"/>
          <w:lang w:val="en-US"/>
        </w:rPr>
        <w:t>-Hernandez, J. M., Pérez-Peña, J. V., (</w:t>
      </w:r>
      <w:r w:rsidRPr="004E34F5">
        <w:rPr>
          <w:rFonts w:ascii="Arial" w:eastAsia="Calibri" w:hAnsi="Arial" w:cs="Arial"/>
          <w:b/>
          <w:i/>
          <w:sz w:val="22"/>
          <w:lang w:val="en-US" w:eastAsia="en-US"/>
        </w:rPr>
        <w:t>In Press</w:t>
      </w:r>
      <w:r w:rsidRPr="004E34F5">
        <w:rPr>
          <w:rFonts w:ascii="Arial" w:hAnsi="Arial" w:cs="Arial"/>
          <w:sz w:val="22"/>
          <w:lang w:val="en-US"/>
        </w:rPr>
        <w:t xml:space="preserve">): Stress-strain analysis of the southern Dead Sea Transform Fault and adjacent structures: An episode of tectonic rejuvenation. </w:t>
      </w:r>
      <w:r w:rsidRPr="004E34F5">
        <w:rPr>
          <w:rFonts w:ascii="Arial" w:hAnsi="Arial" w:cs="Arial"/>
          <w:b/>
          <w:i/>
          <w:sz w:val="22"/>
          <w:lang w:val="en-US"/>
        </w:rPr>
        <w:t>Arabian Journal of Geosciences</w:t>
      </w:r>
      <w:r w:rsidRPr="004E34F5">
        <w:rPr>
          <w:rFonts w:ascii="Arial" w:hAnsi="Arial" w:cs="Arial"/>
          <w:sz w:val="22"/>
          <w:lang w:val="en-US"/>
        </w:rPr>
        <w:t>.</w:t>
      </w:r>
    </w:p>
    <w:p w:rsidR="004E34F5" w:rsidRPr="004E34F5" w:rsidRDefault="004E34F5" w:rsidP="004E34F5">
      <w:pPr>
        <w:pStyle w:val="Autores"/>
        <w:numPr>
          <w:ilvl w:val="0"/>
          <w:numId w:val="1"/>
        </w:numPr>
        <w:spacing w:before="0" w:after="160" w:line="240" w:lineRule="auto"/>
        <w:jc w:val="both"/>
        <w:rPr>
          <w:rFonts w:eastAsia="MS ??"/>
          <w:i w:val="0"/>
          <w:spacing w:val="-5"/>
          <w:sz w:val="22"/>
          <w:szCs w:val="24"/>
          <w:lang w:val="en-US"/>
        </w:rPr>
      </w:pPr>
      <w:r w:rsidRPr="004E34F5">
        <w:rPr>
          <w:b/>
          <w:sz w:val="22"/>
          <w:szCs w:val="24"/>
          <w:lang w:val="en-US"/>
        </w:rPr>
        <w:t>Al-</w:t>
      </w:r>
      <w:proofErr w:type="spellStart"/>
      <w:r w:rsidRPr="004E34F5">
        <w:rPr>
          <w:b/>
          <w:sz w:val="22"/>
          <w:szCs w:val="24"/>
          <w:lang w:val="en-US"/>
        </w:rPr>
        <w:t>Awabdeh</w:t>
      </w:r>
      <w:proofErr w:type="spellEnd"/>
      <w:r w:rsidRPr="004E34F5">
        <w:rPr>
          <w:b/>
          <w:sz w:val="22"/>
          <w:szCs w:val="24"/>
          <w:lang w:val="en-US"/>
        </w:rPr>
        <w:t>, M</w:t>
      </w:r>
      <w:r w:rsidRPr="004E34F5">
        <w:rPr>
          <w:sz w:val="22"/>
          <w:szCs w:val="24"/>
          <w:lang w:val="en-US"/>
        </w:rPr>
        <w:t xml:space="preserve">., </w:t>
      </w:r>
      <w:proofErr w:type="spellStart"/>
      <w:r w:rsidRPr="004E34F5">
        <w:rPr>
          <w:sz w:val="22"/>
          <w:szCs w:val="24"/>
          <w:lang w:val="en-US"/>
        </w:rPr>
        <w:t>Azañon</w:t>
      </w:r>
      <w:proofErr w:type="spellEnd"/>
      <w:r w:rsidRPr="004E34F5">
        <w:rPr>
          <w:sz w:val="22"/>
          <w:szCs w:val="24"/>
          <w:lang w:val="en-US"/>
        </w:rPr>
        <w:t xml:space="preserve">, JM., Pérez-Peña, J. V., Booth-Rea, G., Abed, A. </w:t>
      </w:r>
      <w:proofErr w:type="spellStart"/>
      <w:r w:rsidRPr="004E34F5">
        <w:rPr>
          <w:sz w:val="22"/>
          <w:szCs w:val="24"/>
          <w:lang w:val="en-US"/>
        </w:rPr>
        <w:t>Atalla</w:t>
      </w:r>
      <w:proofErr w:type="spellEnd"/>
      <w:r w:rsidRPr="004E34F5">
        <w:rPr>
          <w:sz w:val="22"/>
          <w:szCs w:val="24"/>
          <w:lang w:val="en-US"/>
        </w:rPr>
        <w:t xml:space="preserve">, </w:t>
      </w:r>
      <w:proofErr w:type="gramStart"/>
      <w:r w:rsidRPr="004E34F5">
        <w:rPr>
          <w:sz w:val="22"/>
          <w:szCs w:val="24"/>
          <w:lang w:val="en-US"/>
        </w:rPr>
        <w:t>M</w:t>
      </w:r>
      <w:proofErr w:type="gramEnd"/>
      <w:r w:rsidRPr="004E34F5">
        <w:rPr>
          <w:sz w:val="22"/>
          <w:szCs w:val="24"/>
          <w:lang w:val="en-US"/>
        </w:rPr>
        <w:t>. (</w:t>
      </w:r>
      <w:r w:rsidRPr="004E34F5">
        <w:rPr>
          <w:b/>
          <w:sz w:val="22"/>
          <w:szCs w:val="24"/>
          <w:lang w:val="en-US"/>
        </w:rPr>
        <w:t>In Press</w:t>
      </w:r>
      <w:r w:rsidRPr="004E34F5">
        <w:rPr>
          <w:sz w:val="22"/>
          <w:szCs w:val="24"/>
          <w:lang w:val="en-US"/>
        </w:rPr>
        <w:t xml:space="preserve">): Quaternary tectonic activity NW Jordan: Insights for new model of </w:t>
      </w:r>
      <w:proofErr w:type="spellStart"/>
      <w:r w:rsidRPr="004E34F5">
        <w:rPr>
          <w:sz w:val="22"/>
          <w:szCs w:val="24"/>
          <w:lang w:val="en-US"/>
        </w:rPr>
        <w:t>transpression-transtenssion</w:t>
      </w:r>
      <w:proofErr w:type="spellEnd"/>
      <w:r w:rsidRPr="004E34F5">
        <w:rPr>
          <w:sz w:val="22"/>
          <w:szCs w:val="24"/>
          <w:lang w:val="en-US"/>
        </w:rPr>
        <w:t xml:space="preserve"> in the southern Dead Sea Transform Fault. </w:t>
      </w:r>
      <w:proofErr w:type="spellStart"/>
      <w:r w:rsidRPr="004E34F5">
        <w:rPr>
          <w:b/>
          <w:sz w:val="22"/>
          <w:szCs w:val="24"/>
          <w:lang w:val="en-US"/>
        </w:rPr>
        <w:t>Tectonophysics</w:t>
      </w:r>
      <w:proofErr w:type="spellEnd"/>
      <w:r w:rsidRPr="004E34F5">
        <w:rPr>
          <w:sz w:val="22"/>
          <w:szCs w:val="24"/>
          <w:lang w:val="en-US"/>
        </w:rPr>
        <w:t>.</w:t>
      </w:r>
    </w:p>
    <w:p w:rsidR="004E34F5" w:rsidRPr="004E34F5" w:rsidRDefault="004E34F5" w:rsidP="004E34F5">
      <w:pPr>
        <w:pStyle w:val="Autores"/>
        <w:numPr>
          <w:ilvl w:val="0"/>
          <w:numId w:val="1"/>
        </w:numPr>
        <w:spacing w:before="0" w:after="160" w:line="240" w:lineRule="auto"/>
        <w:ind w:hanging="357"/>
        <w:jc w:val="both"/>
        <w:rPr>
          <w:rFonts w:eastAsia="MS ??"/>
          <w:i w:val="0"/>
          <w:spacing w:val="-5"/>
          <w:sz w:val="22"/>
          <w:szCs w:val="24"/>
          <w:lang w:val="en-US"/>
        </w:rPr>
      </w:pPr>
      <w:r w:rsidRPr="004E34F5">
        <w:rPr>
          <w:rFonts w:eastAsia="MS ??"/>
          <w:i w:val="0"/>
          <w:spacing w:val="-5"/>
          <w:sz w:val="22"/>
          <w:szCs w:val="24"/>
          <w:lang w:val="en-US"/>
        </w:rPr>
        <w:t xml:space="preserve"> </w:t>
      </w:r>
      <w:r w:rsidRPr="004E34F5">
        <w:rPr>
          <w:rFonts w:eastAsia="MS ??"/>
          <w:i w:val="0"/>
          <w:spacing w:val="-5"/>
          <w:sz w:val="22"/>
          <w:szCs w:val="24"/>
        </w:rPr>
        <w:t xml:space="preserve">J. V. Pérez-Peña, J. M. </w:t>
      </w:r>
      <w:proofErr w:type="spellStart"/>
      <w:r w:rsidRPr="004E34F5">
        <w:rPr>
          <w:rFonts w:eastAsia="MS ??"/>
          <w:i w:val="0"/>
          <w:spacing w:val="-5"/>
          <w:sz w:val="22"/>
          <w:szCs w:val="24"/>
        </w:rPr>
        <w:t>Azañón</w:t>
      </w:r>
      <w:proofErr w:type="spellEnd"/>
      <w:r w:rsidRPr="004E34F5">
        <w:rPr>
          <w:rFonts w:eastAsia="MS ??"/>
          <w:i w:val="0"/>
          <w:spacing w:val="-5"/>
          <w:sz w:val="22"/>
          <w:szCs w:val="24"/>
        </w:rPr>
        <w:t xml:space="preserve">, A. Azor, G. </w:t>
      </w:r>
      <w:proofErr w:type="spellStart"/>
      <w:r w:rsidRPr="004E34F5">
        <w:rPr>
          <w:rFonts w:eastAsia="MS ??"/>
          <w:i w:val="0"/>
          <w:spacing w:val="-5"/>
          <w:sz w:val="22"/>
          <w:szCs w:val="24"/>
        </w:rPr>
        <w:t>Booth</w:t>
      </w:r>
      <w:proofErr w:type="spellEnd"/>
      <w:r w:rsidRPr="004E34F5">
        <w:rPr>
          <w:rFonts w:eastAsia="MS ??"/>
          <w:i w:val="0"/>
          <w:spacing w:val="-5"/>
          <w:sz w:val="22"/>
          <w:szCs w:val="24"/>
        </w:rPr>
        <w:t xml:space="preserve">-Rea, J.P. </w:t>
      </w:r>
      <w:proofErr w:type="spellStart"/>
      <w:r w:rsidRPr="004E34F5">
        <w:rPr>
          <w:rFonts w:eastAsia="MS ??"/>
          <w:i w:val="0"/>
          <w:spacing w:val="-5"/>
          <w:sz w:val="22"/>
          <w:szCs w:val="24"/>
        </w:rPr>
        <w:t>Galve</w:t>
      </w:r>
      <w:proofErr w:type="spellEnd"/>
      <w:r w:rsidRPr="004E34F5">
        <w:rPr>
          <w:rFonts w:eastAsia="MS ??"/>
          <w:i w:val="0"/>
          <w:spacing w:val="-5"/>
          <w:sz w:val="22"/>
          <w:szCs w:val="24"/>
        </w:rPr>
        <w:t xml:space="preserve">,  F.J. Roldán, F. Mancilla, J. Morales, F. </w:t>
      </w:r>
      <w:proofErr w:type="spellStart"/>
      <w:r w:rsidRPr="004E34F5">
        <w:rPr>
          <w:rFonts w:eastAsia="MS ??"/>
          <w:i w:val="0"/>
          <w:spacing w:val="-5"/>
          <w:sz w:val="22"/>
          <w:szCs w:val="24"/>
        </w:rPr>
        <w:t>Giaconia</w:t>
      </w:r>
      <w:proofErr w:type="spellEnd"/>
      <w:r w:rsidRPr="004E34F5">
        <w:rPr>
          <w:rFonts w:eastAsia="MS ??"/>
          <w:i w:val="0"/>
          <w:spacing w:val="-5"/>
          <w:sz w:val="22"/>
          <w:szCs w:val="24"/>
        </w:rPr>
        <w:t xml:space="preserve">, </w:t>
      </w:r>
      <w:r w:rsidRPr="004E34F5">
        <w:rPr>
          <w:rFonts w:eastAsia="MS ??"/>
          <w:b/>
          <w:i w:val="0"/>
          <w:spacing w:val="-5"/>
          <w:sz w:val="22"/>
          <w:szCs w:val="24"/>
        </w:rPr>
        <w:t>M. Al-</w:t>
      </w:r>
      <w:proofErr w:type="spellStart"/>
      <w:r w:rsidRPr="004E34F5">
        <w:rPr>
          <w:rFonts w:eastAsia="MS ??"/>
          <w:b/>
          <w:i w:val="0"/>
          <w:spacing w:val="-5"/>
          <w:sz w:val="22"/>
          <w:szCs w:val="24"/>
        </w:rPr>
        <w:t>Awabdeh</w:t>
      </w:r>
      <w:proofErr w:type="spellEnd"/>
      <w:r w:rsidRPr="004E34F5">
        <w:rPr>
          <w:rFonts w:eastAsia="MS ??"/>
          <w:i w:val="0"/>
          <w:spacing w:val="-5"/>
          <w:sz w:val="22"/>
          <w:szCs w:val="24"/>
        </w:rPr>
        <w:t xml:space="preserve">. </w:t>
      </w:r>
      <w:r w:rsidRPr="004E34F5">
        <w:rPr>
          <w:rFonts w:eastAsia="MS ??"/>
          <w:i w:val="0"/>
          <w:spacing w:val="-5"/>
          <w:sz w:val="22"/>
          <w:szCs w:val="24"/>
          <w:lang w:val="en-US"/>
        </w:rPr>
        <w:t>(</w:t>
      </w:r>
      <w:r w:rsidRPr="004E34F5">
        <w:rPr>
          <w:b/>
          <w:sz w:val="22"/>
          <w:szCs w:val="24"/>
          <w:lang w:val="en-US"/>
        </w:rPr>
        <w:t>2015</w:t>
      </w:r>
      <w:r w:rsidRPr="004E34F5">
        <w:rPr>
          <w:rFonts w:eastAsia="MS ??"/>
          <w:i w:val="0"/>
          <w:spacing w:val="-5"/>
          <w:sz w:val="22"/>
          <w:szCs w:val="24"/>
          <w:lang w:val="en-US"/>
        </w:rPr>
        <w:t xml:space="preserve">): Quaternary landscape evolution driven by slab-pull mechanisms in the Granada Basin (Central </w:t>
      </w:r>
      <w:proofErr w:type="spellStart"/>
      <w:r w:rsidRPr="004E34F5">
        <w:rPr>
          <w:rFonts w:eastAsia="MS ??"/>
          <w:i w:val="0"/>
          <w:spacing w:val="-5"/>
          <w:sz w:val="22"/>
          <w:szCs w:val="24"/>
          <w:lang w:val="en-US"/>
        </w:rPr>
        <w:t>Betics</w:t>
      </w:r>
      <w:proofErr w:type="spellEnd"/>
      <w:r w:rsidRPr="004E34F5">
        <w:rPr>
          <w:rFonts w:eastAsia="MS ??"/>
          <w:i w:val="0"/>
          <w:spacing w:val="-5"/>
          <w:sz w:val="22"/>
          <w:szCs w:val="24"/>
          <w:lang w:val="en-US"/>
        </w:rPr>
        <w:t xml:space="preserve">). </w:t>
      </w:r>
      <w:proofErr w:type="spellStart"/>
      <w:r w:rsidRPr="004E34F5">
        <w:rPr>
          <w:b/>
          <w:sz w:val="22"/>
          <w:szCs w:val="24"/>
          <w:lang w:val="en-US"/>
        </w:rPr>
        <w:t>Tectonophysics</w:t>
      </w:r>
      <w:proofErr w:type="spellEnd"/>
      <w:r w:rsidRPr="004E34F5">
        <w:rPr>
          <w:rFonts w:eastAsia="MS ??"/>
          <w:i w:val="0"/>
          <w:spacing w:val="-5"/>
          <w:sz w:val="22"/>
          <w:szCs w:val="24"/>
          <w:lang w:val="en-US"/>
        </w:rPr>
        <w:t xml:space="preserve">. </w:t>
      </w:r>
      <w:hyperlink r:id="rId7" w:tgtFrame="doilink" w:history="1">
        <w:r w:rsidRPr="004E34F5">
          <w:rPr>
            <w:rFonts w:eastAsia="MS ??"/>
            <w:i w:val="0"/>
            <w:spacing w:val="-5"/>
            <w:sz w:val="22"/>
            <w:szCs w:val="24"/>
            <w:lang w:val="en-US"/>
          </w:rPr>
          <w:t>Doi:10.1016/j.tecto.2015.07.035</w:t>
        </w:r>
      </w:hyperlink>
      <w:r w:rsidRPr="004E34F5">
        <w:rPr>
          <w:rFonts w:eastAsia="MS ??"/>
          <w:i w:val="0"/>
          <w:spacing w:val="-5"/>
          <w:sz w:val="22"/>
          <w:szCs w:val="24"/>
          <w:lang w:val="en-US"/>
        </w:rPr>
        <w:t>,</w:t>
      </w:r>
    </w:p>
    <w:p w:rsidR="004E34F5" w:rsidRPr="004E34F5" w:rsidRDefault="004E34F5" w:rsidP="004E34F5">
      <w:pPr>
        <w:spacing w:before="300" w:after="120"/>
        <w:rPr>
          <w:rFonts w:ascii="Arial" w:hAnsi="Arial" w:cs="Arial"/>
          <w:b/>
          <w:u w:val="single"/>
        </w:rPr>
      </w:pPr>
      <w:r w:rsidRPr="004E34F5">
        <w:rPr>
          <w:rFonts w:ascii="Arial" w:hAnsi="Arial" w:cs="Arial"/>
          <w:b/>
          <w:u w:val="single"/>
        </w:rPr>
        <w:t>Publicaciones nacionales:</w:t>
      </w:r>
    </w:p>
    <w:p w:rsidR="004E34F5" w:rsidRPr="004E34F5" w:rsidRDefault="004E34F5" w:rsidP="004E34F5">
      <w:pPr>
        <w:pStyle w:val="Textoindependiente"/>
        <w:numPr>
          <w:ilvl w:val="0"/>
          <w:numId w:val="1"/>
        </w:numPr>
        <w:rPr>
          <w:rFonts w:cs="Arial"/>
          <w:sz w:val="22"/>
          <w:szCs w:val="22"/>
        </w:rPr>
      </w:pPr>
      <w:r w:rsidRPr="004E34F5">
        <w:rPr>
          <w:rFonts w:cs="Arial"/>
          <w:b/>
          <w:i/>
          <w:sz w:val="22"/>
          <w:szCs w:val="22"/>
        </w:rPr>
        <w:t>Al-</w:t>
      </w:r>
      <w:proofErr w:type="spellStart"/>
      <w:r w:rsidRPr="004E34F5">
        <w:rPr>
          <w:rFonts w:cs="Arial"/>
          <w:b/>
          <w:i/>
          <w:sz w:val="22"/>
          <w:szCs w:val="22"/>
        </w:rPr>
        <w:t>Awabdeh</w:t>
      </w:r>
      <w:proofErr w:type="spellEnd"/>
      <w:r w:rsidRPr="004E34F5">
        <w:rPr>
          <w:rFonts w:cs="Arial"/>
          <w:b/>
          <w:i/>
          <w:sz w:val="22"/>
          <w:szCs w:val="22"/>
        </w:rPr>
        <w:t>, M</w:t>
      </w:r>
      <w:r w:rsidRPr="004E34F5">
        <w:rPr>
          <w:rFonts w:cs="Arial"/>
          <w:sz w:val="22"/>
          <w:szCs w:val="22"/>
        </w:rPr>
        <w:t xml:space="preserve">., </w:t>
      </w:r>
      <w:proofErr w:type="spellStart"/>
      <w:r w:rsidRPr="004E34F5">
        <w:rPr>
          <w:rFonts w:cs="Arial"/>
          <w:sz w:val="22"/>
          <w:szCs w:val="22"/>
        </w:rPr>
        <w:t>Azañón</w:t>
      </w:r>
      <w:proofErr w:type="spellEnd"/>
      <w:r w:rsidRPr="004E34F5">
        <w:rPr>
          <w:rFonts w:cs="Arial"/>
          <w:sz w:val="22"/>
          <w:szCs w:val="22"/>
        </w:rPr>
        <w:t xml:space="preserve">, J. M., </w:t>
      </w:r>
      <w:r>
        <w:rPr>
          <w:rFonts w:cs="Arial"/>
          <w:sz w:val="22"/>
          <w:szCs w:val="22"/>
        </w:rPr>
        <w:t>and</w:t>
      </w:r>
      <w:r w:rsidRPr="004E34F5">
        <w:rPr>
          <w:rFonts w:cs="Arial"/>
          <w:sz w:val="22"/>
          <w:szCs w:val="22"/>
        </w:rPr>
        <w:t xml:space="preserve"> Pérez-Peña, J. V. (2012). </w:t>
      </w:r>
      <w:proofErr w:type="spellStart"/>
      <w:r w:rsidRPr="004E34F5">
        <w:rPr>
          <w:rFonts w:cs="Arial"/>
          <w:sz w:val="22"/>
          <w:szCs w:val="22"/>
        </w:rPr>
        <w:t>Recent</w:t>
      </w:r>
      <w:proofErr w:type="spellEnd"/>
      <w:r w:rsidRPr="004E34F5">
        <w:rPr>
          <w:rFonts w:cs="Arial"/>
          <w:sz w:val="22"/>
          <w:szCs w:val="22"/>
        </w:rPr>
        <w:t xml:space="preserve"> </w:t>
      </w:r>
      <w:proofErr w:type="spellStart"/>
      <w:r w:rsidRPr="004E34F5">
        <w:rPr>
          <w:rFonts w:cs="Arial"/>
          <w:sz w:val="22"/>
          <w:szCs w:val="22"/>
        </w:rPr>
        <w:t>tectonic</w:t>
      </w:r>
      <w:proofErr w:type="spellEnd"/>
      <w:r w:rsidRPr="004E34F5">
        <w:rPr>
          <w:rFonts w:cs="Arial"/>
          <w:sz w:val="22"/>
          <w:szCs w:val="22"/>
        </w:rPr>
        <w:t xml:space="preserve"> </w:t>
      </w:r>
      <w:proofErr w:type="spellStart"/>
      <w:r w:rsidRPr="004E34F5">
        <w:rPr>
          <w:rFonts w:cs="Arial"/>
          <w:sz w:val="22"/>
          <w:szCs w:val="22"/>
        </w:rPr>
        <w:t>activity</w:t>
      </w:r>
      <w:proofErr w:type="spellEnd"/>
      <w:r w:rsidRPr="004E34F5">
        <w:rPr>
          <w:rFonts w:cs="Arial"/>
          <w:sz w:val="22"/>
          <w:szCs w:val="22"/>
        </w:rPr>
        <w:t xml:space="preserve"> in </w:t>
      </w:r>
      <w:proofErr w:type="spellStart"/>
      <w:r w:rsidRPr="004E34F5">
        <w:rPr>
          <w:rFonts w:cs="Arial"/>
          <w:sz w:val="22"/>
          <w:szCs w:val="22"/>
        </w:rPr>
        <w:t>the</w:t>
      </w:r>
      <w:proofErr w:type="spellEnd"/>
      <w:r w:rsidRPr="004E34F5">
        <w:rPr>
          <w:rFonts w:cs="Arial"/>
          <w:sz w:val="22"/>
          <w:szCs w:val="22"/>
        </w:rPr>
        <w:t xml:space="preserve"> </w:t>
      </w:r>
      <w:proofErr w:type="spellStart"/>
      <w:r w:rsidRPr="004E34F5">
        <w:rPr>
          <w:rFonts w:cs="Arial"/>
          <w:sz w:val="22"/>
          <w:szCs w:val="22"/>
        </w:rPr>
        <w:t>intersection</w:t>
      </w:r>
      <w:proofErr w:type="spellEnd"/>
      <w:r w:rsidRPr="004E34F5">
        <w:rPr>
          <w:rFonts w:cs="Arial"/>
          <w:sz w:val="22"/>
          <w:szCs w:val="22"/>
        </w:rPr>
        <w:t xml:space="preserve"> </w:t>
      </w:r>
      <w:proofErr w:type="spellStart"/>
      <w:r w:rsidRPr="004E34F5">
        <w:rPr>
          <w:rFonts w:cs="Arial"/>
          <w:sz w:val="22"/>
          <w:szCs w:val="22"/>
        </w:rPr>
        <w:t>between</w:t>
      </w:r>
      <w:proofErr w:type="spellEnd"/>
      <w:r w:rsidRPr="004E34F5">
        <w:rPr>
          <w:rFonts w:cs="Arial"/>
          <w:sz w:val="22"/>
          <w:szCs w:val="22"/>
        </w:rPr>
        <w:t xml:space="preserve"> </w:t>
      </w:r>
      <w:proofErr w:type="spellStart"/>
      <w:r w:rsidRPr="004E34F5">
        <w:rPr>
          <w:rFonts w:cs="Arial"/>
          <w:sz w:val="22"/>
          <w:szCs w:val="22"/>
        </w:rPr>
        <w:t>the</w:t>
      </w:r>
      <w:proofErr w:type="spellEnd"/>
      <w:r w:rsidRPr="004E34F5">
        <w:rPr>
          <w:rFonts w:cs="Arial"/>
          <w:sz w:val="22"/>
          <w:szCs w:val="22"/>
        </w:rPr>
        <w:t xml:space="preserve"> Amman-</w:t>
      </w:r>
      <w:proofErr w:type="spellStart"/>
      <w:r w:rsidRPr="004E34F5">
        <w:rPr>
          <w:rFonts w:cs="Arial"/>
          <w:sz w:val="22"/>
          <w:szCs w:val="22"/>
        </w:rPr>
        <w:t>Hallabat</w:t>
      </w:r>
      <w:proofErr w:type="spellEnd"/>
      <w:r w:rsidRPr="004E34F5">
        <w:rPr>
          <w:rFonts w:cs="Arial"/>
          <w:sz w:val="22"/>
          <w:szCs w:val="22"/>
        </w:rPr>
        <w:t xml:space="preserve"> </w:t>
      </w:r>
      <w:proofErr w:type="spellStart"/>
      <w:r w:rsidRPr="004E34F5">
        <w:rPr>
          <w:rFonts w:cs="Arial"/>
          <w:sz w:val="22"/>
          <w:szCs w:val="22"/>
        </w:rPr>
        <w:t>structure</w:t>
      </w:r>
      <w:proofErr w:type="spellEnd"/>
      <w:r w:rsidRPr="004E34F5">
        <w:rPr>
          <w:rFonts w:cs="Arial"/>
          <w:sz w:val="22"/>
          <w:szCs w:val="22"/>
        </w:rPr>
        <w:t xml:space="preserve"> and </w:t>
      </w:r>
      <w:proofErr w:type="spellStart"/>
      <w:r w:rsidRPr="004E34F5">
        <w:rPr>
          <w:rFonts w:cs="Arial"/>
          <w:sz w:val="22"/>
          <w:szCs w:val="22"/>
        </w:rPr>
        <w:t>the</w:t>
      </w:r>
      <w:proofErr w:type="spellEnd"/>
      <w:r w:rsidRPr="004E34F5">
        <w:rPr>
          <w:rFonts w:cs="Arial"/>
          <w:sz w:val="22"/>
          <w:szCs w:val="22"/>
        </w:rPr>
        <w:t xml:space="preserve"> </w:t>
      </w:r>
      <w:proofErr w:type="spellStart"/>
      <w:r w:rsidRPr="004E34F5">
        <w:rPr>
          <w:rFonts w:cs="Arial"/>
          <w:sz w:val="22"/>
          <w:szCs w:val="22"/>
        </w:rPr>
        <w:t>Dead</w:t>
      </w:r>
      <w:proofErr w:type="spellEnd"/>
      <w:r w:rsidRPr="004E34F5">
        <w:rPr>
          <w:rFonts w:cs="Arial"/>
          <w:sz w:val="22"/>
          <w:szCs w:val="22"/>
        </w:rPr>
        <w:t xml:space="preserve"> Sea </w:t>
      </w:r>
      <w:proofErr w:type="spellStart"/>
      <w:r w:rsidRPr="004E34F5">
        <w:rPr>
          <w:rFonts w:cs="Arial"/>
          <w:sz w:val="22"/>
          <w:szCs w:val="22"/>
        </w:rPr>
        <w:t>Transform</w:t>
      </w:r>
      <w:proofErr w:type="spellEnd"/>
      <w:r w:rsidRPr="004E34F5">
        <w:rPr>
          <w:rFonts w:cs="Arial"/>
          <w:sz w:val="22"/>
          <w:szCs w:val="22"/>
        </w:rPr>
        <w:t xml:space="preserve"> </w:t>
      </w:r>
      <w:proofErr w:type="spellStart"/>
      <w:r w:rsidRPr="004E34F5">
        <w:rPr>
          <w:rFonts w:cs="Arial"/>
          <w:sz w:val="22"/>
          <w:szCs w:val="22"/>
        </w:rPr>
        <w:t>Fault</w:t>
      </w:r>
      <w:proofErr w:type="spellEnd"/>
      <w:r w:rsidRPr="004E34F5">
        <w:rPr>
          <w:rFonts w:cs="Arial"/>
          <w:sz w:val="22"/>
          <w:szCs w:val="22"/>
        </w:rPr>
        <w:t xml:space="preserve"> </w:t>
      </w:r>
      <w:proofErr w:type="gramStart"/>
      <w:r w:rsidRPr="004E34F5">
        <w:rPr>
          <w:rFonts w:cs="Arial"/>
          <w:sz w:val="22"/>
          <w:szCs w:val="22"/>
        </w:rPr>
        <w:t xml:space="preserve">( </w:t>
      </w:r>
      <w:proofErr w:type="spellStart"/>
      <w:r w:rsidRPr="004E34F5">
        <w:rPr>
          <w:rFonts w:cs="Arial"/>
          <w:sz w:val="22"/>
          <w:szCs w:val="22"/>
        </w:rPr>
        <w:t>Jordan</w:t>
      </w:r>
      <w:proofErr w:type="spellEnd"/>
      <w:proofErr w:type="gramEnd"/>
      <w:r w:rsidRPr="004E34F5">
        <w:rPr>
          <w:rFonts w:cs="Arial"/>
          <w:sz w:val="22"/>
          <w:szCs w:val="22"/>
        </w:rPr>
        <w:t xml:space="preserve"> ). </w:t>
      </w:r>
      <w:proofErr w:type="spellStart"/>
      <w:r w:rsidRPr="004E34F5">
        <w:rPr>
          <w:rFonts w:cs="Arial"/>
          <w:i/>
          <w:sz w:val="22"/>
          <w:szCs w:val="22"/>
        </w:rPr>
        <w:t>Geotemas</w:t>
      </w:r>
      <w:proofErr w:type="spellEnd"/>
      <w:r w:rsidRPr="004E34F5">
        <w:rPr>
          <w:rFonts w:cs="Arial"/>
          <w:sz w:val="22"/>
          <w:szCs w:val="22"/>
        </w:rPr>
        <w:t>, 12, 469–472.</w:t>
      </w:r>
    </w:p>
    <w:p w:rsidR="004E34F5" w:rsidRPr="004E34F5" w:rsidRDefault="004E34F5" w:rsidP="004E34F5">
      <w:pPr>
        <w:spacing w:before="300" w:after="120"/>
        <w:rPr>
          <w:rFonts w:ascii="Arial" w:hAnsi="Arial" w:cs="Arial"/>
          <w:b/>
          <w:u w:val="single"/>
        </w:rPr>
      </w:pPr>
      <w:r w:rsidRPr="004E34F5">
        <w:rPr>
          <w:rFonts w:ascii="Arial" w:hAnsi="Arial" w:cs="Arial"/>
          <w:b/>
          <w:u w:val="single"/>
        </w:rPr>
        <w:t>Aportaciones a congresos:</w:t>
      </w:r>
    </w:p>
    <w:p w:rsidR="004E34F5" w:rsidRPr="004E34F5" w:rsidRDefault="004E34F5" w:rsidP="004E34F5">
      <w:pPr>
        <w:pStyle w:val="Textoindependiente"/>
        <w:numPr>
          <w:ilvl w:val="0"/>
          <w:numId w:val="1"/>
        </w:numPr>
        <w:rPr>
          <w:rFonts w:cs="Arial"/>
          <w:b/>
          <w:i/>
          <w:sz w:val="22"/>
          <w:szCs w:val="22"/>
        </w:rPr>
      </w:pPr>
      <w:r w:rsidRPr="004E34F5">
        <w:rPr>
          <w:rFonts w:cs="Arial"/>
          <w:b/>
          <w:i/>
          <w:sz w:val="22"/>
          <w:szCs w:val="22"/>
        </w:rPr>
        <w:t>M. Al-</w:t>
      </w:r>
      <w:proofErr w:type="spellStart"/>
      <w:r w:rsidRPr="004E34F5">
        <w:rPr>
          <w:rFonts w:cs="Arial"/>
          <w:b/>
          <w:i/>
          <w:sz w:val="22"/>
          <w:szCs w:val="22"/>
        </w:rPr>
        <w:t>Awabdeh</w:t>
      </w:r>
      <w:proofErr w:type="spellEnd"/>
      <w:r w:rsidRPr="004E34F5">
        <w:rPr>
          <w:rFonts w:cs="Arial"/>
          <w:b/>
          <w:i/>
          <w:sz w:val="22"/>
          <w:szCs w:val="22"/>
        </w:rPr>
        <w:t xml:space="preserve">, </w:t>
      </w:r>
      <w:r w:rsidRPr="004E34F5">
        <w:rPr>
          <w:rFonts w:cs="Arial"/>
          <w:sz w:val="22"/>
          <w:szCs w:val="22"/>
        </w:rPr>
        <w:t xml:space="preserve">J.V. Pérez-Peña, J.M. </w:t>
      </w:r>
      <w:proofErr w:type="spellStart"/>
      <w:r w:rsidRPr="004E34F5">
        <w:rPr>
          <w:rFonts w:cs="Arial"/>
          <w:sz w:val="22"/>
          <w:szCs w:val="22"/>
        </w:rPr>
        <w:t>Azañón</w:t>
      </w:r>
      <w:proofErr w:type="spellEnd"/>
      <w:r w:rsidRPr="004E34F5">
        <w:rPr>
          <w:rFonts w:cs="Arial"/>
          <w:sz w:val="22"/>
          <w:szCs w:val="22"/>
        </w:rPr>
        <w:t>, G. Booth-Rea., (2015). Stress-Strain analysis of the southern Dead Sea Transform Fault and adjacent structures. WMESS, Prague, Czech (</w:t>
      </w:r>
      <w:r w:rsidRPr="004E34F5">
        <w:rPr>
          <w:rFonts w:cs="Arial"/>
          <w:i/>
          <w:sz w:val="22"/>
          <w:szCs w:val="22"/>
        </w:rPr>
        <w:t>Poster</w:t>
      </w:r>
      <w:r w:rsidRPr="004E34F5">
        <w:rPr>
          <w:rFonts w:cs="Arial"/>
          <w:sz w:val="22"/>
          <w:szCs w:val="22"/>
        </w:rPr>
        <w:t>).</w:t>
      </w:r>
    </w:p>
    <w:p w:rsidR="004E34F5" w:rsidRPr="004E34F5" w:rsidRDefault="004E34F5" w:rsidP="004E34F5">
      <w:pPr>
        <w:pStyle w:val="Textoindependiente"/>
        <w:numPr>
          <w:ilvl w:val="0"/>
          <w:numId w:val="1"/>
        </w:numPr>
        <w:rPr>
          <w:rFonts w:cs="Arial"/>
          <w:b/>
          <w:i/>
          <w:sz w:val="22"/>
          <w:szCs w:val="22"/>
        </w:rPr>
      </w:pPr>
      <w:r w:rsidRPr="004E34F5">
        <w:rPr>
          <w:rFonts w:cs="Arial"/>
          <w:b/>
          <w:i/>
          <w:sz w:val="22"/>
          <w:szCs w:val="22"/>
        </w:rPr>
        <w:t>M. Al-</w:t>
      </w:r>
      <w:proofErr w:type="spellStart"/>
      <w:r w:rsidRPr="004E34F5">
        <w:rPr>
          <w:rFonts w:cs="Arial"/>
          <w:b/>
          <w:i/>
          <w:sz w:val="22"/>
          <w:szCs w:val="22"/>
        </w:rPr>
        <w:t>Awabdeh</w:t>
      </w:r>
      <w:proofErr w:type="spellEnd"/>
      <w:r w:rsidRPr="004E34F5">
        <w:rPr>
          <w:rFonts w:cs="Arial"/>
          <w:b/>
          <w:i/>
          <w:sz w:val="22"/>
          <w:szCs w:val="22"/>
        </w:rPr>
        <w:t xml:space="preserve">, </w:t>
      </w:r>
      <w:r w:rsidRPr="004E34F5">
        <w:rPr>
          <w:rFonts w:cs="Arial"/>
          <w:sz w:val="22"/>
          <w:szCs w:val="22"/>
        </w:rPr>
        <w:t xml:space="preserve">J.V. Pérez-Peña, J.M. </w:t>
      </w:r>
      <w:proofErr w:type="spellStart"/>
      <w:r w:rsidRPr="004E34F5">
        <w:rPr>
          <w:rFonts w:cs="Arial"/>
          <w:sz w:val="22"/>
          <w:szCs w:val="22"/>
        </w:rPr>
        <w:t>Azañón</w:t>
      </w:r>
      <w:proofErr w:type="spellEnd"/>
      <w:r w:rsidRPr="004E34F5">
        <w:rPr>
          <w:rFonts w:cs="Arial"/>
          <w:sz w:val="22"/>
          <w:szCs w:val="22"/>
        </w:rPr>
        <w:t xml:space="preserve">, G. Booth-Rea., (2015). Recent </w:t>
      </w:r>
      <w:proofErr w:type="spellStart"/>
      <w:r w:rsidRPr="004E34F5">
        <w:rPr>
          <w:rFonts w:cs="Arial"/>
          <w:sz w:val="22"/>
          <w:szCs w:val="22"/>
        </w:rPr>
        <w:t>transpression-transtension</w:t>
      </w:r>
      <w:proofErr w:type="spellEnd"/>
      <w:r w:rsidRPr="004E34F5">
        <w:rPr>
          <w:rFonts w:cs="Arial"/>
          <w:sz w:val="22"/>
          <w:szCs w:val="22"/>
        </w:rPr>
        <w:t xml:space="preserve"> at the Amman-</w:t>
      </w:r>
      <w:proofErr w:type="spellStart"/>
      <w:r w:rsidRPr="004E34F5">
        <w:rPr>
          <w:rFonts w:cs="Arial"/>
          <w:sz w:val="22"/>
          <w:szCs w:val="22"/>
        </w:rPr>
        <w:t>Hallabat</w:t>
      </w:r>
      <w:proofErr w:type="spellEnd"/>
      <w:r w:rsidRPr="004E34F5">
        <w:rPr>
          <w:rFonts w:cs="Arial"/>
          <w:sz w:val="22"/>
          <w:szCs w:val="22"/>
        </w:rPr>
        <w:t xml:space="preserve"> and </w:t>
      </w:r>
      <w:proofErr w:type="spellStart"/>
      <w:r w:rsidRPr="004E34F5">
        <w:rPr>
          <w:rFonts w:cs="Arial"/>
          <w:sz w:val="22"/>
          <w:szCs w:val="22"/>
        </w:rPr>
        <w:t>Shueib</w:t>
      </w:r>
      <w:proofErr w:type="spellEnd"/>
      <w:r w:rsidRPr="004E34F5">
        <w:rPr>
          <w:rFonts w:cs="Arial"/>
          <w:sz w:val="22"/>
          <w:szCs w:val="22"/>
        </w:rPr>
        <w:t xml:space="preserve"> structures. WMESS, Prague, Czech (</w:t>
      </w:r>
      <w:r w:rsidRPr="004E34F5">
        <w:rPr>
          <w:rFonts w:cs="Arial"/>
          <w:i/>
          <w:sz w:val="22"/>
          <w:szCs w:val="22"/>
        </w:rPr>
        <w:t>Oral presentation</w:t>
      </w:r>
      <w:r w:rsidRPr="004E34F5">
        <w:rPr>
          <w:rFonts w:cs="Arial"/>
          <w:sz w:val="22"/>
          <w:szCs w:val="22"/>
        </w:rPr>
        <w:t>).</w:t>
      </w:r>
    </w:p>
    <w:p w:rsidR="004E34F5" w:rsidRPr="004E34F5" w:rsidRDefault="004E34F5" w:rsidP="004E34F5">
      <w:pPr>
        <w:pStyle w:val="Textoindependiente"/>
        <w:numPr>
          <w:ilvl w:val="0"/>
          <w:numId w:val="1"/>
        </w:numPr>
        <w:rPr>
          <w:rFonts w:cs="Arial"/>
          <w:sz w:val="22"/>
          <w:szCs w:val="22"/>
          <w:lang w:val="es-ES"/>
        </w:rPr>
      </w:pPr>
      <w:proofErr w:type="spellStart"/>
      <w:r w:rsidRPr="004E34F5">
        <w:rPr>
          <w:rFonts w:cs="Arial"/>
          <w:sz w:val="22"/>
          <w:szCs w:val="22"/>
        </w:rPr>
        <w:t>Perez.Peña</w:t>
      </w:r>
      <w:proofErr w:type="spellEnd"/>
      <w:r w:rsidRPr="004E34F5">
        <w:rPr>
          <w:rFonts w:cs="Arial"/>
          <w:sz w:val="22"/>
          <w:szCs w:val="22"/>
        </w:rPr>
        <w:t xml:space="preserve">, J.V., </w:t>
      </w:r>
      <w:proofErr w:type="spellStart"/>
      <w:r w:rsidRPr="004E34F5">
        <w:rPr>
          <w:rFonts w:cs="Arial"/>
          <w:b/>
          <w:sz w:val="22"/>
          <w:szCs w:val="22"/>
        </w:rPr>
        <w:t>AlAwabdeh</w:t>
      </w:r>
      <w:proofErr w:type="spellEnd"/>
      <w:r w:rsidRPr="004E34F5">
        <w:rPr>
          <w:rFonts w:cs="Arial"/>
          <w:b/>
          <w:sz w:val="22"/>
          <w:szCs w:val="22"/>
        </w:rPr>
        <w:t>, M.</w:t>
      </w:r>
      <w:r w:rsidRPr="004E34F5">
        <w:rPr>
          <w:rFonts w:cs="Arial"/>
          <w:sz w:val="22"/>
          <w:szCs w:val="22"/>
        </w:rPr>
        <w:t xml:space="preserve">, </w:t>
      </w:r>
      <w:proofErr w:type="spellStart"/>
      <w:r w:rsidRPr="004E34F5">
        <w:rPr>
          <w:rFonts w:cs="Arial"/>
          <w:sz w:val="22"/>
          <w:szCs w:val="22"/>
        </w:rPr>
        <w:t>Galve</w:t>
      </w:r>
      <w:proofErr w:type="spellEnd"/>
      <w:r w:rsidRPr="004E34F5">
        <w:rPr>
          <w:rFonts w:cs="Arial"/>
          <w:sz w:val="22"/>
          <w:szCs w:val="22"/>
        </w:rPr>
        <w:t>, J</w:t>
      </w:r>
      <w:r w:rsidRPr="004E34F5">
        <w:rPr>
          <w:rFonts w:cs="Arial"/>
          <w:sz w:val="22"/>
          <w:szCs w:val="22"/>
        </w:rPr>
        <w:t>.</w:t>
      </w:r>
      <w:r w:rsidRPr="004E34F5">
        <w:rPr>
          <w:rFonts w:cs="Arial"/>
          <w:sz w:val="22"/>
          <w:szCs w:val="22"/>
        </w:rPr>
        <w:t xml:space="preserve">P., </w:t>
      </w:r>
      <w:proofErr w:type="spellStart"/>
      <w:r w:rsidRPr="004E34F5">
        <w:rPr>
          <w:rFonts w:cs="Arial"/>
          <w:sz w:val="22"/>
          <w:szCs w:val="22"/>
        </w:rPr>
        <w:t>Azañón</w:t>
      </w:r>
      <w:proofErr w:type="spellEnd"/>
      <w:r w:rsidRPr="004E34F5">
        <w:rPr>
          <w:rFonts w:cs="Arial"/>
          <w:sz w:val="22"/>
          <w:szCs w:val="22"/>
        </w:rPr>
        <w:t xml:space="preserve">, J.M., </w:t>
      </w:r>
      <w:proofErr w:type="spellStart"/>
      <w:r w:rsidRPr="004E34F5">
        <w:rPr>
          <w:rFonts w:cs="Arial"/>
          <w:sz w:val="22"/>
          <w:szCs w:val="22"/>
        </w:rPr>
        <w:t>Notti</w:t>
      </w:r>
      <w:proofErr w:type="spellEnd"/>
      <w:r w:rsidRPr="004E34F5">
        <w:rPr>
          <w:rFonts w:cs="Arial"/>
          <w:sz w:val="22"/>
          <w:szCs w:val="22"/>
        </w:rPr>
        <w:t xml:space="preserve">, D., </w:t>
      </w:r>
      <w:proofErr w:type="spellStart"/>
      <w:r w:rsidRPr="004E34F5">
        <w:rPr>
          <w:rFonts w:cs="Arial"/>
          <w:sz w:val="22"/>
          <w:szCs w:val="22"/>
        </w:rPr>
        <w:t>Giaconia</w:t>
      </w:r>
      <w:proofErr w:type="spellEnd"/>
      <w:r w:rsidRPr="004E34F5">
        <w:rPr>
          <w:rFonts w:cs="Arial"/>
          <w:sz w:val="22"/>
          <w:szCs w:val="22"/>
        </w:rPr>
        <w:t xml:space="preserve">, F., Booth-Rea, G. (2015). </w:t>
      </w:r>
      <w:r w:rsidRPr="004E34F5">
        <w:rPr>
          <w:rFonts w:cs="Arial"/>
          <w:sz w:val="22"/>
          <w:szCs w:val="22"/>
          <w:lang w:val="es-ES"/>
        </w:rPr>
        <w:t>R-</w:t>
      </w:r>
      <w:proofErr w:type="spellStart"/>
      <w:r w:rsidRPr="004E34F5">
        <w:rPr>
          <w:rFonts w:cs="Arial"/>
          <w:sz w:val="22"/>
          <w:szCs w:val="22"/>
          <w:lang w:val="es-ES"/>
        </w:rPr>
        <w:t>Profiler</w:t>
      </w:r>
      <w:proofErr w:type="spellEnd"/>
      <w:r w:rsidRPr="004E34F5">
        <w:rPr>
          <w:rFonts w:cs="Arial"/>
          <w:sz w:val="22"/>
          <w:szCs w:val="22"/>
          <w:lang w:val="es-ES"/>
        </w:rPr>
        <w:t xml:space="preserve">: un complemento para </w:t>
      </w:r>
      <w:proofErr w:type="spellStart"/>
      <w:r w:rsidRPr="004E34F5">
        <w:rPr>
          <w:rFonts w:cs="Arial"/>
          <w:sz w:val="22"/>
          <w:szCs w:val="22"/>
          <w:lang w:val="es-ES"/>
        </w:rPr>
        <w:t>ArcGIS</w:t>
      </w:r>
      <w:proofErr w:type="spellEnd"/>
      <w:r w:rsidRPr="004E34F5">
        <w:rPr>
          <w:rFonts w:cs="Arial"/>
          <w:sz w:val="22"/>
          <w:szCs w:val="22"/>
          <w:lang w:val="es-ES"/>
        </w:rPr>
        <w:t xml:space="preserve"> que permite la extracción de perfiles normalizados y parámetros asociados. XIV Reunión Nacional de Cuaternario, Granada, </w:t>
      </w:r>
      <w:proofErr w:type="spellStart"/>
      <w:r w:rsidRPr="004E34F5">
        <w:rPr>
          <w:rFonts w:cs="Arial"/>
          <w:sz w:val="22"/>
          <w:szCs w:val="22"/>
          <w:lang w:val="es-ES"/>
        </w:rPr>
        <w:t>Spain</w:t>
      </w:r>
      <w:proofErr w:type="spellEnd"/>
      <w:r w:rsidRPr="004E34F5">
        <w:rPr>
          <w:rFonts w:cs="Arial"/>
          <w:sz w:val="22"/>
          <w:szCs w:val="22"/>
          <w:lang w:val="es-ES"/>
        </w:rPr>
        <w:t xml:space="preserve">. </w:t>
      </w:r>
      <w:proofErr w:type="spellStart"/>
      <w:r w:rsidRPr="004E34F5">
        <w:rPr>
          <w:rFonts w:cs="Arial"/>
          <w:i/>
          <w:sz w:val="22"/>
          <w:szCs w:val="22"/>
          <w:lang w:val="es-ES"/>
        </w:rPr>
        <w:t>Conference</w:t>
      </w:r>
      <w:proofErr w:type="spellEnd"/>
      <w:r w:rsidRPr="004E34F5">
        <w:rPr>
          <w:rFonts w:cs="Arial"/>
          <w:i/>
          <w:sz w:val="22"/>
          <w:szCs w:val="22"/>
          <w:lang w:val="es-ES"/>
        </w:rPr>
        <w:t xml:space="preserve"> </w:t>
      </w:r>
      <w:proofErr w:type="spellStart"/>
      <w:r w:rsidRPr="004E34F5">
        <w:rPr>
          <w:rFonts w:cs="Arial"/>
          <w:i/>
          <w:sz w:val="22"/>
          <w:szCs w:val="22"/>
          <w:lang w:val="es-ES"/>
        </w:rPr>
        <w:t>paper</w:t>
      </w:r>
      <w:proofErr w:type="spellEnd"/>
      <w:r w:rsidRPr="004E34F5">
        <w:rPr>
          <w:rFonts w:cs="Arial"/>
          <w:b/>
          <w:i/>
          <w:sz w:val="22"/>
          <w:szCs w:val="22"/>
          <w:lang w:val="es-ES"/>
        </w:rPr>
        <w:t>.</w:t>
      </w:r>
    </w:p>
    <w:p w:rsidR="004E34F5" w:rsidRPr="004E34F5" w:rsidRDefault="004E34F5" w:rsidP="004E34F5">
      <w:pPr>
        <w:pStyle w:val="Textoindependiente"/>
        <w:numPr>
          <w:ilvl w:val="0"/>
          <w:numId w:val="1"/>
        </w:numPr>
        <w:rPr>
          <w:rFonts w:cs="Arial"/>
          <w:sz w:val="22"/>
          <w:szCs w:val="22"/>
        </w:rPr>
      </w:pPr>
      <w:r w:rsidRPr="004E34F5">
        <w:rPr>
          <w:rFonts w:cs="Arial"/>
          <w:b/>
          <w:sz w:val="22"/>
          <w:szCs w:val="22"/>
        </w:rPr>
        <w:t>Al-</w:t>
      </w:r>
      <w:proofErr w:type="spellStart"/>
      <w:r w:rsidRPr="004E34F5">
        <w:rPr>
          <w:rFonts w:cs="Arial"/>
          <w:b/>
          <w:sz w:val="22"/>
          <w:szCs w:val="22"/>
        </w:rPr>
        <w:t>Awabdeh</w:t>
      </w:r>
      <w:proofErr w:type="spellEnd"/>
      <w:r w:rsidRPr="004E34F5">
        <w:rPr>
          <w:rFonts w:cs="Arial"/>
          <w:b/>
          <w:sz w:val="22"/>
          <w:szCs w:val="22"/>
        </w:rPr>
        <w:t>, Mohammad</w:t>
      </w:r>
      <w:r w:rsidRPr="004E34F5">
        <w:rPr>
          <w:rFonts w:cs="Arial"/>
          <w:sz w:val="22"/>
          <w:szCs w:val="22"/>
        </w:rPr>
        <w:t xml:space="preserve">, Pérez-Peña, J. Vicente, </w:t>
      </w:r>
      <w:proofErr w:type="spellStart"/>
      <w:r w:rsidRPr="004E34F5">
        <w:rPr>
          <w:rFonts w:cs="Arial"/>
          <w:sz w:val="22"/>
          <w:szCs w:val="22"/>
        </w:rPr>
        <w:t>Azañón</w:t>
      </w:r>
      <w:proofErr w:type="spellEnd"/>
      <w:r w:rsidRPr="004E34F5">
        <w:rPr>
          <w:rFonts w:cs="Arial"/>
          <w:sz w:val="22"/>
          <w:szCs w:val="22"/>
        </w:rPr>
        <w:t xml:space="preserve">, J. Miguel and Booth-Rea, Guillermo (2014): </w:t>
      </w:r>
      <w:proofErr w:type="spellStart"/>
      <w:r w:rsidRPr="004E34F5">
        <w:rPr>
          <w:rFonts w:cs="Arial"/>
          <w:sz w:val="22"/>
          <w:szCs w:val="22"/>
        </w:rPr>
        <w:t>Neotectonic</w:t>
      </w:r>
      <w:proofErr w:type="spellEnd"/>
      <w:r w:rsidRPr="004E34F5">
        <w:rPr>
          <w:rFonts w:cs="Arial"/>
          <w:sz w:val="22"/>
          <w:szCs w:val="22"/>
        </w:rPr>
        <w:t xml:space="preserve"> of Dead Sea pull-apart basin. A new tectonic model for its northern closure. Geophysical Research Abstracts. Vol. 16, EGU2014-4030.(Poster)</w:t>
      </w:r>
    </w:p>
    <w:p w:rsidR="004E34F5" w:rsidRPr="004E34F5" w:rsidRDefault="004E34F5" w:rsidP="004E34F5">
      <w:pPr>
        <w:pStyle w:val="Textoindependiente"/>
        <w:numPr>
          <w:ilvl w:val="0"/>
          <w:numId w:val="1"/>
        </w:numPr>
        <w:rPr>
          <w:rFonts w:cs="Arial"/>
          <w:sz w:val="22"/>
          <w:szCs w:val="22"/>
        </w:rPr>
      </w:pPr>
      <w:r w:rsidRPr="004E34F5">
        <w:rPr>
          <w:rFonts w:cs="Arial"/>
          <w:sz w:val="22"/>
          <w:szCs w:val="22"/>
        </w:rPr>
        <w:t>Pérez-Peña, J.</w:t>
      </w:r>
      <w:r w:rsidRPr="004E34F5">
        <w:rPr>
          <w:rFonts w:cs="Arial"/>
          <w:sz w:val="22"/>
          <w:szCs w:val="22"/>
        </w:rPr>
        <w:t>V</w:t>
      </w:r>
      <w:r w:rsidRPr="004E34F5">
        <w:rPr>
          <w:rFonts w:cs="Arial"/>
          <w:sz w:val="22"/>
          <w:szCs w:val="22"/>
        </w:rPr>
        <w:t>.</w:t>
      </w:r>
      <w:r w:rsidRPr="004E34F5">
        <w:rPr>
          <w:rFonts w:cs="Arial"/>
          <w:sz w:val="22"/>
          <w:szCs w:val="22"/>
        </w:rPr>
        <w:t xml:space="preserve">, </w:t>
      </w:r>
      <w:proofErr w:type="spellStart"/>
      <w:r w:rsidRPr="004E34F5">
        <w:rPr>
          <w:rFonts w:cs="Arial"/>
          <w:sz w:val="22"/>
          <w:szCs w:val="22"/>
        </w:rPr>
        <w:t>Azañón</w:t>
      </w:r>
      <w:proofErr w:type="spellEnd"/>
      <w:r w:rsidRPr="004E34F5">
        <w:rPr>
          <w:rFonts w:cs="Arial"/>
          <w:sz w:val="22"/>
          <w:szCs w:val="22"/>
        </w:rPr>
        <w:t>, J.</w:t>
      </w:r>
      <w:r w:rsidRPr="004E34F5">
        <w:rPr>
          <w:rFonts w:cs="Arial"/>
          <w:sz w:val="22"/>
          <w:szCs w:val="22"/>
        </w:rPr>
        <w:t>M.</w:t>
      </w:r>
      <w:r w:rsidRPr="004E34F5">
        <w:rPr>
          <w:rFonts w:cs="Arial"/>
          <w:sz w:val="22"/>
          <w:szCs w:val="22"/>
        </w:rPr>
        <w:t>, Booth-Rea, G</w:t>
      </w:r>
      <w:r w:rsidRPr="004E34F5">
        <w:rPr>
          <w:rFonts w:cs="Arial"/>
          <w:sz w:val="22"/>
          <w:szCs w:val="22"/>
        </w:rPr>
        <w:t>.</w:t>
      </w:r>
      <w:r w:rsidRPr="004E34F5">
        <w:rPr>
          <w:rFonts w:cs="Arial"/>
          <w:sz w:val="22"/>
          <w:szCs w:val="22"/>
        </w:rPr>
        <w:t xml:space="preserve"> and </w:t>
      </w:r>
      <w:r w:rsidRPr="004E34F5">
        <w:rPr>
          <w:rFonts w:cs="Arial"/>
          <w:b/>
          <w:sz w:val="22"/>
          <w:szCs w:val="22"/>
        </w:rPr>
        <w:t>Al-</w:t>
      </w:r>
      <w:proofErr w:type="spellStart"/>
      <w:r w:rsidRPr="004E34F5">
        <w:rPr>
          <w:rFonts w:cs="Arial"/>
          <w:b/>
          <w:sz w:val="22"/>
          <w:szCs w:val="22"/>
        </w:rPr>
        <w:t>Awabdeh</w:t>
      </w:r>
      <w:proofErr w:type="spellEnd"/>
      <w:r w:rsidRPr="004E34F5">
        <w:rPr>
          <w:rFonts w:cs="Arial"/>
          <w:b/>
          <w:sz w:val="22"/>
          <w:szCs w:val="22"/>
        </w:rPr>
        <w:t>, Mohammad</w:t>
      </w:r>
      <w:r w:rsidRPr="004E34F5">
        <w:rPr>
          <w:rFonts w:cs="Arial"/>
          <w:sz w:val="22"/>
          <w:szCs w:val="22"/>
        </w:rPr>
        <w:t xml:space="preserve"> (2014): Spatial hypsometric analysis of an </w:t>
      </w:r>
      <w:proofErr w:type="spellStart"/>
      <w:r w:rsidRPr="004E34F5">
        <w:rPr>
          <w:rFonts w:cs="Arial"/>
          <w:sz w:val="22"/>
          <w:szCs w:val="22"/>
        </w:rPr>
        <w:t>intermontane</w:t>
      </w:r>
      <w:proofErr w:type="spellEnd"/>
      <w:r w:rsidRPr="004E34F5">
        <w:rPr>
          <w:rFonts w:cs="Arial"/>
          <w:sz w:val="22"/>
          <w:szCs w:val="22"/>
        </w:rPr>
        <w:t xml:space="preserve"> basin: A key to understand the most recent tectonic evolution (Granada basin, Spain). Geophysical Research Abstracts. Vol. 16, EGU2014-4030.</w:t>
      </w:r>
      <w:r w:rsidRPr="004E34F5">
        <w:rPr>
          <w:rFonts w:cs="Arial"/>
          <w:sz w:val="22"/>
          <w:szCs w:val="22"/>
        </w:rPr>
        <w:t xml:space="preserve"> </w:t>
      </w:r>
      <w:r w:rsidRPr="004E34F5">
        <w:rPr>
          <w:rFonts w:cs="Arial"/>
          <w:sz w:val="22"/>
          <w:szCs w:val="22"/>
        </w:rPr>
        <w:t>(Poster).</w:t>
      </w:r>
    </w:p>
    <w:p w:rsidR="004E34F5" w:rsidRDefault="004E34F5" w:rsidP="007F2591">
      <w:pPr>
        <w:pStyle w:val="Textoindependiente"/>
        <w:numPr>
          <w:ilvl w:val="0"/>
          <w:numId w:val="1"/>
        </w:numPr>
        <w:ind w:left="480" w:hanging="480"/>
      </w:pPr>
      <w:r w:rsidRPr="007F2591">
        <w:rPr>
          <w:rFonts w:cs="Arial"/>
          <w:b/>
          <w:sz w:val="22"/>
          <w:szCs w:val="22"/>
        </w:rPr>
        <w:t>Al-</w:t>
      </w:r>
      <w:proofErr w:type="spellStart"/>
      <w:r w:rsidRPr="007F2591">
        <w:rPr>
          <w:rFonts w:cs="Arial"/>
          <w:b/>
          <w:sz w:val="22"/>
          <w:szCs w:val="22"/>
        </w:rPr>
        <w:t>Awabdeh</w:t>
      </w:r>
      <w:proofErr w:type="spellEnd"/>
      <w:r w:rsidRPr="007F2591">
        <w:rPr>
          <w:rFonts w:cs="Arial"/>
          <w:b/>
          <w:sz w:val="22"/>
          <w:szCs w:val="22"/>
        </w:rPr>
        <w:t>, M</w:t>
      </w:r>
      <w:r w:rsidRPr="007F2591">
        <w:rPr>
          <w:rFonts w:cs="Arial"/>
          <w:b/>
          <w:sz w:val="22"/>
          <w:szCs w:val="22"/>
        </w:rPr>
        <w:t>.</w:t>
      </w:r>
      <w:r w:rsidRPr="007F2591">
        <w:rPr>
          <w:rFonts w:cs="Arial"/>
          <w:sz w:val="22"/>
          <w:szCs w:val="22"/>
        </w:rPr>
        <w:t xml:space="preserve">, </w:t>
      </w:r>
      <w:proofErr w:type="spellStart"/>
      <w:r w:rsidRPr="007F2591">
        <w:rPr>
          <w:rFonts w:cs="Arial"/>
          <w:sz w:val="22"/>
          <w:szCs w:val="22"/>
        </w:rPr>
        <w:t>Azañón</w:t>
      </w:r>
      <w:proofErr w:type="spellEnd"/>
      <w:r w:rsidRPr="007F2591">
        <w:rPr>
          <w:rFonts w:cs="Arial"/>
          <w:sz w:val="22"/>
          <w:szCs w:val="22"/>
        </w:rPr>
        <w:t xml:space="preserve">, </w:t>
      </w:r>
      <w:proofErr w:type="spellStart"/>
      <w:r w:rsidRPr="007F2591">
        <w:rPr>
          <w:rFonts w:cs="Arial"/>
          <w:sz w:val="22"/>
          <w:szCs w:val="22"/>
        </w:rPr>
        <w:t>J.Miguel</w:t>
      </w:r>
      <w:proofErr w:type="spellEnd"/>
      <w:r w:rsidRPr="007F2591">
        <w:rPr>
          <w:rFonts w:cs="Arial"/>
          <w:sz w:val="22"/>
          <w:szCs w:val="22"/>
        </w:rPr>
        <w:t xml:space="preserve"> Pérez-Peña, </w:t>
      </w:r>
      <w:proofErr w:type="spellStart"/>
      <w:r w:rsidRPr="007F2591">
        <w:rPr>
          <w:rFonts w:cs="Arial"/>
          <w:sz w:val="22"/>
          <w:szCs w:val="22"/>
        </w:rPr>
        <w:t>J.Vicente</w:t>
      </w:r>
      <w:proofErr w:type="spellEnd"/>
      <w:r w:rsidRPr="007F2591">
        <w:rPr>
          <w:rFonts w:cs="Arial"/>
          <w:sz w:val="22"/>
          <w:szCs w:val="22"/>
        </w:rPr>
        <w:t xml:space="preserve">, Booth-Rea, Guillermo (2014): Archaeological evidences of the tectonic activity of </w:t>
      </w:r>
      <w:proofErr w:type="spellStart"/>
      <w:r w:rsidRPr="007F2591">
        <w:rPr>
          <w:rFonts w:cs="Arial"/>
          <w:sz w:val="22"/>
          <w:szCs w:val="22"/>
        </w:rPr>
        <w:t>Shueib</w:t>
      </w:r>
      <w:proofErr w:type="spellEnd"/>
      <w:r w:rsidRPr="007F2591">
        <w:rPr>
          <w:rFonts w:cs="Arial"/>
          <w:sz w:val="22"/>
          <w:szCs w:val="22"/>
        </w:rPr>
        <w:t xml:space="preserve"> Structure (NW Jordan). Geophysical Research Abstracts. Vol. 16, EGU2014-4048.</w:t>
      </w:r>
      <w:r w:rsidRPr="007F2591">
        <w:rPr>
          <w:rFonts w:cs="Arial"/>
          <w:sz w:val="22"/>
          <w:szCs w:val="22"/>
        </w:rPr>
        <w:t xml:space="preserve"> </w:t>
      </w:r>
      <w:r w:rsidRPr="007F2591">
        <w:rPr>
          <w:rFonts w:cs="Arial"/>
          <w:sz w:val="22"/>
          <w:szCs w:val="22"/>
        </w:rPr>
        <w:t>(Poster).</w:t>
      </w:r>
      <w:bookmarkStart w:id="0" w:name="_GoBack"/>
      <w:bookmarkEnd w:id="0"/>
    </w:p>
    <w:sectPr w:rsidR="004E3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6656"/>
    <w:multiLevelType w:val="hybridMultilevel"/>
    <w:tmpl w:val="07C8F164"/>
    <w:lvl w:ilvl="0" w:tplc="5824EA04">
      <w:start w:val="1"/>
      <w:numFmt w:val="bullet"/>
      <w:lvlText w:val=""/>
      <w:lvlJc w:val="left"/>
      <w:pPr>
        <w:ind w:left="465" w:hanging="360"/>
      </w:pPr>
      <w:rPr>
        <w:rFonts w:ascii="Symbol" w:eastAsia="Times New Roman" w:hAnsi="Symbol" w:hint="default"/>
      </w:rPr>
    </w:lvl>
    <w:lvl w:ilvl="1" w:tplc="3C6AF6E8">
      <w:numFmt w:val="bullet"/>
      <w:lvlText w:val="-"/>
      <w:lvlJc w:val="left"/>
      <w:pPr>
        <w:tabs>
          <w:tab w:val="num" w:pos="1185"/>
        </w:tabs>
        <w:ind w:left="1185" w:hanging="360"/>
      </w:pPr>
      <w:rPr>
        <w:rFonts w:ascii="Times New Roman" w:eastAsia="Times New Roman" w:hAnsi="Times New Roman" w:hint="default"/>
        <w:b/>
        <w:sz w:val="32"/>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F5"/>
    <w:rsid w:val="004E34F5"/>
    <w:rsid w:val="00727892"/>
    <w:rsid w:val="007F2591"/>
    <w:rsid w:val="00FF4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4E34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4E34F5"/>
    <w:pPr>
      <w:spacing w:before="60" w:after="60" w:line="220" w:lineRule="atLeast"/>
      <w:ind w:left="158"/>
      <w:jc w:val="both"/>
    </w:pPr>
    <w:rPr>
      <w:rFonts w:ascii="Arial" w:eastAsia="MS ??" w:hAnsi="Arial" w:cs="Times New Roman"/>
      <w:spacing w:val="-5"/>
      <w:sz w:val="20"/>
      <w:szCs w:val="20"/>
      <w:lang w:val="en-US"/>
    </w:rPr>
  </w:style>
  <w:style w:type="character" w:customStyle="1" w:styleId="TextoindependienteCar">
    <w:name w:val="Texto independiente Car"/>
    <w:basedOn w:val="Fuentedeprrafopredeter"/>
    <w:link w:val="Textoindependiente"/>
    <w:uiPriority w:val="99"/>
    <w:rsid w:val="004E34F5"/>
    <w:rPr>
      <w:rFonts w:ascii="Arial" w:eastAsia="MS ??" w:hAnsi="Arial" w:cs="Times New Roman"/>
      <w:spacing w:val="-5"/>
      <w:sz w:val="20"/>
      <w:szCs w:val="20"/>
      <w:lang w:val="en-US"/>
    </w:rPr>
  </w:style>
  <w:style w:type="paragraph" w:customStyle="1" w:styleId="Autores">
    <w:name w:val="Autores"/>
    <w:basedOn w:val="Normal"/>
    <w:uiPriority w:val="1"/>
    <w:qFormat/>
    <w:rsid w:val="004E34F5"/>
    <w:pPr>
      <w:spacing w:before="240" w:line="288" w:lineRule="auto"/>
      <w:jc w:val="center"/>
    </w:pPr>
    <w:rPr>
      <w:rFonts w:ascii="Arial" w:eastAsia="Calibri" w:hAnsi="Arial" w:cs="Arial"/>
      <w:i/>
      <w:sz w:val="24"/>
    </w:rPr>
  </w:style>
  <w:style w:type="paragraph" w:customStyle="1" w:styleId="TesisNORMAL">
    <w:name w:val="Tesis_NORMAL"/>
    <w:basedOn w:val="Normal"/>
    <w:rsid w:val="00FF42F2"/>
    <w:pPr>
      <w:spacing w:after="240" w:line="460" w:lineRule="exact"/>
      <w:ind w:firstLine="284"/>
      <w:jc w:val="both"/>
    </w:pPr>
    <w:rPr>
      <w:rFonts w:ascii="Times New Roman" w:hAnsi="Times New Roman"/>
      <w:sz w:val="24"/>
      <w:lang w:val="en-US"/>
    </w:rPr>
  </w:style>
  <w:style w:type="paragraph" w:styleId="Textodeglobo">
    <w:name w:val="Balloon Text"/>
    <w:basedOn w:val="Normal"/>
    <w:link w:val="TextodegloboCar"/>
    <w:uiPriority w:val="99"/>
    <w:semiHidden/>
    <w:unhideWhenUsed/>
    <w:rsid w:val="00FF42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2F2"/>
    <w:rPr>
      <w:rFonts w:ascii="Tahoma" w:hAnsi="Tahoma" w:cs="Tahoma"/>
      <w:sz w:val="16"/>
      <w:szCs w:val="16"/>
    </w:rPr>
  </w:style>
  <w:style w:type="paragraph" w:customStyle="1" w:styleId="ContactInfo">
    <w:name w:val="Contact Info"/>
    <w:basedOn w:val="Normal"/>
    <w:next w:val="Textoindependiente"/>
    <w:uiPriority w:val="99"/>
    <w:rsid w:val="007F2591"/>
    <w:pPr>
      <w:spacing w:after="0" w:line="240" w:lineRule="auto"/>
      <w:jc w:val="right"/>
    </w:pPr>
    <w:rPr>
      <w:rFonts w:ascii="Arial" w:eastAsia="MS ??" w:hAnsi="Arial" w:cs="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4E34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4E34F5"/>
    <w:pPr>
      <w:spacing w:before="60" w:after="60" w:line="220" w:lineRule="atLeast"/>
      <w:ind w:left="158"/>
      <w:jc w:val="both"/>
    </w:pPr>
    <w:rPr>
      <w:rFonts w:ascii="Arial" w:eastAsia="MS ??" w:hAnsi="Arial" w:cs="Times New Roman"/>
      <w:spacing w:val="-5"/>
      <w:sz w:val="20"/>
      <w:szCs w:val="20"/>
      <w:lang w:val="en-US"/>
    </w:rPr>
  </w:style>
  <w:style w:type="character" w:customStyle="1" w:styleId="TextoindependienteCar">
    <w:name w:val="Texto independiente Car"/>
    <w:basedOn w:val="Fuentedeprrafopredeter"/>
    <w:link w:val="Textoindependiente"/>
    <w:uiPriority w:val="99"/>
    <w:rsid w:val="004E34F5"/>
    <w:rPr>
      <w:rFonts w:ascii="Arial" w:eastAsia="MS ??" w:hAnsi="Arial" w:cs="Times New Roman"/>
      <w:spacing w:val="-5"/>
      <w:sz w:val="20"/>
      <w:szCs w:val="20"/>
      <w:lang w:val="en-US"/>
    </w:rPr>
  </w:style>
  <w:style w:type="paragraph" w:customStyle="1" w:styleId="Autores">
    <w:name w:val="Autores"/>
    <w:basedOn w:val="Normal"/>
    <w:uiPriority w:val="1"/>
    <w:qFormat/>
    <w:rsid w:val="004E34F5"/>
    <w:pPr>
      <w:spacing w:before="240" w:line="288" w:lineRule="auto"/>
      <w:jc w:val="center"/>
    </w:pPr>
    <w:rPr>
      <w:rFonts w:ascii="Arial" w:eastAsia="Calibri" w:hAnsi="Arial" w:cs="Arial"/>
      <w:i/>
      <w:sz w:val="24"/>
    </w:rPr>
  </w:style>
  <w:style w:type="paragraph" w:customStyle="1" w:styleId="TesisNORMAL">
    <w:name w:val="Tesis_NORMAL"/>
    <w:basedOn w:val="Normal"/>
    <w:rsid w:val="00FF42F2"/>
    <w:pPr>
      <w:spacing w:after="240" w:line="460" w:lineRule="exact"/>
      <w:ind w:firstLine="284"/>
      <w:jc w:val="both"/>
    </w:pPr>
    <w:rPr>
      <w:rFonts w:ascii="Times New Roman" w:hAnsi="Times New Roman"/>
      <w:sz w:val="24"/>
      <w:lang w:val="en-US"/>
    </w:rPr>
  </w:style>
  <w:style w:type="paragraph" w:styleId="Textodeglobo">
    <w:name w:val="Balloon Text"/>
    <w:basedOn w:val="Normal"/>
    <w:link w:val="TextodegloboCar"/>
    <w:uiPriority w:val="99"/>
    <w:semiHidden/>
    <w:unhideWhenUsed/>
    <w:rsid w:val="00FF42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2F2"/>
    <w:rPr>
      <w:rFonts w:ascii="Tahoma" w:hAnsi="Tahoma" w:cs="Tahoma"/>
      <w:sz w:val="16"/>
      <w:szCs w:val="16"/>
    </w:rPr>
  </w:style>
  <w:style w:type="paragraph" w:customStyle="1" w:styleId="ContactInfo">
    <w:name w:val="Contact Info"/>
    <w:basedOn w:val="Normal"/>
    <w:next w:val="Textoindependiente"/>
    <w:uiPriority w:val="99"/>
    <w:rsid w:val="007F2591"/>
    <w:pPr>
      <w:spacing w:after="0" w:line="240" w:lineRule="auto"/>
      <w:jc w:val="right"/>
    </w:pPr>
    <w:rPr>
      <w:rFonts w:ascii="Arial" w:eastAsia="MS ??" w:hAnsi="Arial"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0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x.doi.org/10.1016/j.tecto.2015.07.0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1629</Words>
  <Characters>8962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2015-11-10T18:47:00Z</dcterms:created>
  <dcterms:modified xsi:type="dcterms:W3CDTF">2015-11-10T19:18:00Z</dcterms:modified>
</cp:coreProperties>
</file>