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2512" w14:textId="0FD815D7" w:rsidR="00783631" w:rsidRDefault="00783631" w:rsidP="00783631">
      <w:pPr>
        <w:pStyle w:val="Cita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0065AB" wp14:editId="7831215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72640" cy="1157605"/>
            <wp:effectExtent l="0" t="0" r="3810" b="4445"/>
            <wp:wrapSquare wrapText="bothSides"/>
            <wp:docPr id="2" name="Imagen 2" descr="http://www.prehistoriayarqueologia.org/docs/noticias/log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prehistoriayarqueologia.org/docs/noticias/logo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495705" wp14:editId="74CE3F2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40255" cy="11379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6FD9B" w14:textId="77777777" w:rsidR="00783631" w:rsidRDefault="00783631" w:rsidP="00783631">
      <w:pPr>
        <w:pStyle w:val="Cita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0E7BE387" w14:textId="77777777" w:rsidR="00783631" w:rsidRDefault="00783631" w:rsidP="00783631">
      <w:pPr>
        <w:pStyle w:val="Cita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41D458B5" w14:textId="77777777" w:rsidR="00783631" w:rsidRDefault="00783631" w:rsidP="00783631">
      <w:pPr>
        <w:pStyle w:val="Cita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0A5BE71B" w14:textId="77777777" w:rsidR="00783631" w:rsidRDefault="00783631" w:rsidP="00783631">
      <w:pPr>
        <w:pStyle w:val="Cita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02BDB800" w14:textId="77777777" w:rsidR="00783631" w:rsidRDefault="00783631" w:rsidP="00783631">
      <w:pPr>
        <w:pStyle w:val="Cita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43488C86" w14:textId="77777777" w:rsidR="00783631" w:rsidRDefault="00783631" w:rsidP="00783631">
      <w:pPr>
        <w:pStyle w:val="Cita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5143D72F" w14:textId="77777777" w:rsidR="00783631" w:rsidRDefault="00783631" w:rsidP="00783631">
      <w:pPr>
        <w:pStyle w:val="Cita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32A30323" w14:textId="77777777" w:rsidR="00783631" w:rsidRDefault="00783631" w:rsidP="00783631">
      <w:pPr>
        <w:pStyle w:val="Cita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32BC201F" w14:textId="77777777" w:rsidR="00783631" w:rsidRDefault="00783631" w:rsidP="00783631">
      <w:pPr>
        <w:spacing w:before="120" w:after="120"/>
        <w:rPr>
          <w:rFonts w:ascii="Times New Roman" w:hAnsi="Times New Roman" w:cs="Times New Roman"/>
        </w:rPr>
      </w:pPr>
    </w:p>
    <w:p w14:paraId="762906E5" w14:textId="12D5EF9B" w:rsidR="00783631" w:rsidRDefault="00783631" w:rsidP="00783631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CURSO DE INTRODUCCIÓN AL ESTUDIO DE LA CULTURA MATERIAL DEL ANTIGUO EGIPTO</w:t>
      </w:r>
    </w:p>
    <w:p w14:paraId="1EFA83E4" w14:textId="6BD84417" w:rsidR="00783631" w:rsidRDefault="00783631" w:rsidP="00783631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Curso online del 22 al 26 de noviembre 2021</w:t>
      </w:r>
    </w:p>
    <w:p w14:paraId="121C2480" w14:textId="77777777" w:rsidR="00D01568" w:rsidRPr="00D01568" w:rsidRDefault="00D01568" w:rsidP="0035702B">
      <w:pPr>
        <w:spacing w:before="240" w:after="240"/>
      </w:pPr>
    </w:p>
    <w:p w14:paraId="6B867437" w14:textId="77777777" w:rsidR="00635558" w:rsidRPr="00664561" w:rsidRDefault="00635558" w:rsidP="0035702B">
      <w:pPr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</w:p>
    <w:p w14:paraId="786A1A19" w14:textId="2AE0EE92" w:rsidR="00497507" w:rsidRPr="0035702B" w:rsidRDefault="00B92F42" w:rsidP="0035702B">
      <w:pPr>
        <w:pStyle w:val="Cita"/>
        <w:spacing w:before="240" w:after="24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64561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Institución/es que propone:</w:t>
      </w:r>
      <w:r w:rsidRPr="00664561">
        <w:rPr>
          <w:rFonts w:ascii="Times New Roman" w:hAnsi="Times New Roman" w:cs="Times New Roman"/>
          <w:sz w:val="22"/>
          <w:szCs w:val="22"/>
        </w:rPr>
        <w:t xml:space="preserve"> </w:t>
      </w:r>
      <w:r w:rsidRPr="00664561">
        <w:rPr>
          <w:rFonts w:ascii="Times New Roman" w:hAnsi="Times New Roman" w:cs="Times New Roman"/>
          <w:i w:val="0"/>
          <w:iCs w:val="0"/>
          <w:sz w:val="22"/>
          <w:szCs w:val="22"/>
        </w:rPr>
        <w:t>Departamento de Prehistoria y Arqueología</w:t>
      </w:r>
      <w:r w:rsidR="00197CA0">
        <w:rPr>
          <w:rFonts w:ascii="Times New Roman" w:hAnsi="Times New Roman" w:cs="Times New Roman"/>
          <w:i w:val="0"/>
          <w:iCs w:val="0"/>
          <w:sz w:val="22"/>
          <w:szCs w:val="22"/>
        </w:rPr>
        <w:t>, Escuela Internacional de Doctorado, Programa de doctorado en Historia y Artes</w:t>
      </w:r>
      <w:r w:rsidR="003646A7" w:rsidRPr="00664561">
        <w:rPr>
          <w:rFonts w:ascii="Times New Roman" w:hAnsi="Times New Roman" w:cs="Times New Roman"/>
          <w:sz w:val="22"/>
          <w:szCs w:val="22"/>
        </w:rPr>
        <w:fldChar w:fldCharType="begin"/>
      </w:r>
      <w:r w:rsidR="00497507" w:rsidRPr="00664561">
        <w:rPr>
          <w:rFonts w:ascii="Times New Roman" w:hAnsi="Times New Roman" w:cs="Times New Roman"/>
          <w:sz w:val="22"/>
          <w:szCs w:val="22"/>
        </w:rPr>
        <w:instrText xml:space="preserve"> COMMENTS   \* MERGEFORMAT </w:instrText>
      </w:r>
      <w:r w:rsidR="003646A7" w:rsidRPr="0066456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9782C0B" w14:textId="13C847B1" w:rsidR="00497507" w:rsidRPr="0035702B" w:rsidRDefault="00B92F42" w:rsidP="0035702B">
      <w:pPr>
        <w:pStyle w:val="Cita"/>
        <w:spacing w:before="240" w:after="24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64561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Director/es:</w:t>
      </w:r>
      <w:r w:rsidRPr="00664561">
        <w:rPr>
          <w:rFonts w:ascii="Times New Roman" w:hAnsi="Times New Roman" w:cs="Times New Roman"/>
          <w:sz w:val="22"/>
          <w:szCs w:val="22"/>
        </w:rPr>
        <w:t xml:space="preserve"> </w:t>
      </w:r>
      <w:r w:rsidRPr="0066456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Linda Chapon, María Franco González, Juan </w:t>
      </w:r>
      <w:r w:rsidR="00DB2280" w:rsidRPr="0066456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Francisco </w:t>
      </w:r>
      <w:r w:rsidRPr="0066456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Bermúdez Calle </w:t>
      </w:r>
    </w:p>
    <w:p w14:paraId="1C718765" w14:textId="68A711DF" w:rsidR="00DE1E9D" w:rsidRPr="0035702B" w:rsidRDefault="00B92F42" w:rsidP="0035702B">
      <w:pPr>
        <w:spacing w:before="240" w:after="24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64561">
        <w:rPr>
          <w:rStyle w:val="CitaCar"/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Líneas de investigación del Programa de Doctorado</w:t>
      </w:r>
      <w:r w:rsidR="004A5102" w:rsidRPr="0066456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35702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664561">
        <w:rPr>
          <w:rFonts w:ascii="Times New Roman" w:hAnsi="Times New Roman" w:cs="Times New Roman"/>
          <w:sz w:val="22"/>
          <w:szCs w:val="22"/>
        </w:rPr>
        <w:t>Patrimonio, Historia, Arqueología</w:t>
      </w:r>
    </w:p>
    <w:p w14:paraId="79092F04" w14:textId="6C659404" w:rsidR="00DE1E9D" w:rsidRPr="00664561" w:rsidRDefault="00DE1E9D" w:rsidP="0035702B">
      <w:pPr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4561">
        <w:rPr>
          <w:rFonts w:ascii="Times New Roman" w:hAnsi="Times New Roman" w:cs="Times New Roman"/>
          <w:b/>
          <w:bCs/>
          <w:sz w:val="22"/>
          <w:szCs w:val="22"/>
        </w:rPr>
        <w:t xml:space="preserve">Fechas de realización: </w:t>
      </w:r>
      <w:r w:rsidR="00406979">
        <w:rPr>
          <w:rFonts w:ascii="Times New Roman" w:hAnsi="Times New Roman" w:cs="Times New Roman"/>
          <w:bCs/>
          <w:sz w:val="22"/>
          <w:szCs w:val="22"/>
        </w:rPr>
        <w:t>22</w:t>
      </w:r>
      <w:r w:rsidR="00197CA0" w:rsidRPr="00197CA0">
        <w:rPr>
          <w:rFonts w:ascii="Times New Roman" w:hAnsi="Times New Roman" w:cs="Times New Roman"/>
          <w:bCs/>
          <w:sz w:val="22"/>
          <w:szCs w:val="22"/>
        </w:rPr>
        <w:t>-</w:t>
      </w:r>
      <w:r w:rsidR="00406979">
        <w:rPr>
          <w:rFonts w:ascii="Times New Roman" w:hAnsi="Times New Roman" w:cs="Times New Roman"/>
          <w:bCs/>
          <w:sz w:val="22"/>
          <w:szCs w:val="22"/>
        </w:rPr>
        <w:t>26</w:t>
      </w:r>
      <w:r w:rsidR="00197CA0" w:rsidRPr="00197CA0">
        <w:rPr>
          <w:rFonts w:ascii="Times New Roman" w:hAnsi="Times New Roman" w:cs="Times New Roman"/>
          <w:bCs/>
          <w:sz w:val="22"/>
          <w:szCs w:val="22"/>
        </w:rPr>
        <w:t xml:space="preserve"> de </w:t>
      </w:r>
      <w:r w:rsidR="00406979">
        <w:rPr>
          <w:rFonts w:ascii="Times New Roman" w:hAnsi="Times New Roman" w:cs="Times New Roman"/>
          <w:bCs/>
          <w:sz w:val="22"/>
          <w:szCs w:val="22"/>
        </w:rPr>
        <w:t>noviembre</w:t>
      </w:r>
      <w:r w:rsidRPr="0066456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406979">
        <w:rPr>
          <w:rFonts w:ascii="Times New Roman" w:hAnsi="Times New Roman" w:cs="Times New Roman"/>
          <w:bCs/>
          <w:sz w:val="22"/>
          <w:szCs w:val="22"/>
        </w:rPr>
        <w:t>1</w:t>
      </w:r>
    </w:p>
    <w:p w14:paraId="49BC5A7C" w14:textId="0FEC4EE6" w:rsidR="003C2A81" w:rsidRPr="0035702B" w:rsidRDefault="00DE1E9D" w:rsidP="0035702B">
      <w:pPr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4561">
        <w:rPr>
          <w:rFonts w:ascii="Times New Roman" w:hAnsi="Times New Roman" w:cs="Times New Roman"/>
          <w:b/>
          <w:sz w:val="22"/>
          <w:szCs w:val="22"/>
        </w:rPr>
        <w:t>Lugar de realización:</w:t>
      </w:r>
      <w:r w:rsidRPr="006645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97CA0">
        <w:rPr>
          <w:rFonts w:ascii="Times New Roman" w:hAnsi="Times New Roman" w:cs="Times New Roman"/>
          <w:bCs/>
          <w:sz w:val="22"/>
          <w:szCs w:val="22"/>
        </w:rPr>
        <w:t>Online</w:t>
      </w:r>
    </w:p>
    <w:p w14:paraId="3917D6F2" w14:textId="779B8154" w:rsidR="003C2A81" w:rsidRDefault="003C2A81" w:rsidP="0035702B">
      <w:pPr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  <w:r w:rsidRPr="003C2A81">
        <w:rPr>
          <w:rFonts w:ascii="Times New Roman" w:hAnsi="Times New Roman" w:cs="Times New Roman"/>
          <w:b/>
          <w:sz w:val="22"/>
          <w:szCs w:val="22"/>
        </w:rPr>
        <w:t>Cuota (excepto alumnos de doctorado</w:t>
      </w:r>
      <w:r w:rsidR="00406979">
        <w:rPr>
          <w:rFonts w:ascii="Times New Roman" w:hAnsi="Times New Roman" w:cs="Times New Roman"/>
          <w:b/>
          <w:sz w:val="22"/>
          <w:szCs w:val="22"/>
        </w:rPr>
        <w:t xml:space="preserve"> de la UGR</w:t>
      </w:r>
      <w:r w:rsidRPr="003C2A81">
        <w:rPr>
          <w:rFonts w:ascii="Times New Roman" w:hAnsi="Times New Roman" w:cs="Times New Roman"/>
          <w:b/>
          <w:sz w:val="22"/>
          <w:szCs w:val="22"/>
        </w:rPr>
        <w:t>):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</w:p>
    <w:p w14:paraId="3E76C663" w14:textId="23BD6110" w:rsidR="00543183" w:rsidRDefault="00543183" w:rsidP="0035702B">
      <w:pPr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  <w:r w:rsidRPr="00543183">
        <w:rPr>
          <w:rFonts w:ascii="Times New Roman" w:hAnsi="Times New Roman" w:cs="Times New Roman"/>
          <w:b/>
          <w:sz w:val="22"/>
          <w:szCs w:val="22"/>
        </w:rPr>
        <w:t>Inscripción:</w:t>
      </w:r>
      <w:r>
        <w:rPr>
          <w:rFonts w:ascii="Times New Roman" w:hAnsi="Times New Roman" w:cs="Times New Roman"/>
          <w:sz w:val="22"/>
          <w:szCs w:val="22"/>
        </w:rPr>
        <w:t xml:space="preserve"> Formulario a rellenar por todos los solicitantes (descargar de la página del Departamento de Prehistoria y Arqueología de la UGR o de la página del Programa de doctorado en Historia y artes)</w:t>
      </w:r>
      <w:r w:rsidR="00406979">
        <w:rPr>
          <w:rFonts w:ascii="Times New Roman" w:hAnsi="Times New Roman" w:cs="Times New Roman"/>
          <w:sz w:val="22"/>
          <w:szCs w:val="22"/>
        </w:rPr>
        <w:t>.</w:t>
      </w:r>
    </w:p>
    <w:p w14:paraId="323E5852" w14:textId="33416BDE" w:rsidR="00497507" w:rsidRPr="0035702B" w:rsidRDefault="00543183" w:rsidP="0035702B">
      <w:pPr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43183">
        <w:rPr>
          <w:rFonts w:ascii="Times New Roman" w:hAnsi="Times New Roman" w:cs="Times New Roman"/>
          <w:b/>
          <w:sz w:val="22"/>
          <w:szCs w:val="22"/>
        </w:rPr>
        <w:t>Certificado: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C2A81" w:rsidRPr="006905FC">
        <w:rPr>
          <w:rFonts w:ascii="Times New Roman" w:hAnsi="Times New Roman" w:cs="Times New Roman"/>
          <w:sz w:val="22"/>
          <w:szCs w:val="22"/>
        </w:rPr>
        <w:t xml:space="preserve">Se les entregará un certificado </w:t>
      </w:r>
      <w:r>
        <w:rPr>
          <w:rFonts w:ascii="Times New Roman" w:hAnsi="Times New Roman" w:cs="Times New Roman"/>
          <w:sz w:val="22"/>
          <w:szCs w:val="22"/>
        </w:rPr>
        <w:t xml:space="preserve">oficial </w:t>
      </w:r>
      <w:r w:rsidR="003C2A81" w:rsidRPr="006905FC">
        <w:rPr>
          <w:rFonts w:ascii="Times New Roman" w:hAnsi="Times New Roman" w:cs="Times New Roman"/>
          <w:sz w:val="22"/>
          <w:szCs w:val="22"/>
        </w:rPr>
        <w:t>a los asistentes al curso</w:t>
      </w:r>
      <w:r>
        <w:rPr>
          <w:rFonts w:ascii="Times New Roman" w:hAnsi="Times New Roman" w:cs="Times New Roman"/>
          <w:sz w:val="22"/>
          <w:szCs w:val="22"/>
        </w:rPr>
        <w:t>, con los créditos y horas correspondientes</w:t>
      </w:r>
      <w:r w:rsidR="00406979">
        <w:rPr>
          <w:rFonts w:ascii="Times New Roman" w:hAnsi="Times New Roman" w:cs="Times New Roman"/>
          <w:sz w:val="22"/>
          <w:szCs w:val="22"/>
        </w:rPr>
        <w:t>.</w:t>
      </w:r>
    </w:p>
    <w:p w14:paraId="2A91703B" w14:textId="6FD4014E" w:rsidR="00B92F42" w:rsidRPr="0035702B" w:rsidRDefault="00EF76C9" w:rsidP="0035702B">
      <w:pPr>
        <w:pStyle w:val="Cita"/>
        <w:spacing w:before="240" w:after="240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Descripción</w:t>
      </w:r>
      <w:r w:rsidR="00B92F42" w:rsidRPr="00664561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de la actividad</w:t>
      </w:r>
      <w:r w:rsidR="004A5102" w:rsidRPr="00664561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:</w:t>
      </w:r>
    </w:p>
    <w:p w14:paraId="01954934" w14:textId="0A67122A" w:rsidR="007D7517" w:rsidRPr="0035702B" w:rsidRDefault="00B92F42" w:rsidP="0035702B">
      <w:pPr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  <w:r w:rsidRPr="00664561">
        <w:rPr>
          <w:rFonts w:ascii="Times New Roman" w:hAnsi="Times New Roman" w:cs="Times New Roman"/>
          <w:sz w:val="22"/>
          <w:szCs w:val="22"/>
        </w:rPr>
        <w:t xml:space="preserve">La egiptología es una línea de investigación que se ha ido desarrollando y afianzando en los últimos años dentro de la Universidad de Granada. Prueba de ello son las diferentes tesis centradas en el ámbito geográfico y cultural del Antiguo Egipto que se están llevando a cabo y el interés creciente por esta disciplina entre el alumnado y los estudiantes de doctorado. Con este </w:t>
      </w:r>
      <w:r w:rsidR="008B5D7C">
        <w:rPr>
          <w:rFonts w:ascii="Times New Roman" w:hAnsi="Times New Roman" w:cs="Times New Roman"/>
          <w:sz w:val="22"/>
          <w:szCs w:val="22"/>
        </w:rPr>
        <w:t>segundo c</w:t>
      </w:r>
      <w:r w:rsidRPr="00664561">
        <w:rPr>
          <w:rFonts w:ascii="Times New Roman" w:hAnsi="Times New Roman" w:cs="Times New Roman"/>
          <w:sz w:val="22"/>
          <w:szCs w:val="22"/>
        </w:rPr>
        <w:t xml:space="preserve">urso, se </w:t>
      </w:r>
      <w:r w:rsidR="008B5D7C">
        <w:rPr>
          <w:rFonts w:ascii="Times New Roman" w:hAnsi="Times New Roman" w:cs="Times New Roman"/>
          <w:sz w:val="22"/>
          <w:szCs w:val="22"/>
        </w:rPr>
        <w:t xml:space="preserve">amplía el espectro </w:t>
      </w:r>
      <w:r w:rsidR="00EF76C9">
        <w:rPr>
          <w:rFonts w:ascii="Times New Roman" w:hAnsi="Times New Roman" w:cs="Times New Roman"/>
          <w:sz w:val="22"/>
          <w:szCs w:val="22"/>
        </w:rPr>
        <w:t xml:space="preserve">y se </w:t>
      </w:r>
      <w:r w:rsidRPr="00664561">
        <w:rPr>
          <w:rFonts w:ascii="Times New Roman" w:hAnsi="Times New Roman" w:cs="Times New Roman"/>
          <w:sz w:val="22"/>
          <w:szCs w:val="22"/>
        </w:rPr>
        <w:t xml:space="preserve">ofrece a los asistentes una aproximación a </w:t>
      </w:r>
      <w:r w:rsidR="008B5D7C">
        <w:rPr>
          <w:rFonts w:ascii="Times New Roman" w:hAnsi="Times New Roman" w:cs="Times New Roman"/>
          <w:sz w:val="22"/>
          <w:szCs w:val="22"/>
        </w:rPr>
        <w:t>otros</w:t>
      </w:r>
      <w:r w:rsidRPr="00664561">
        <w:rPr>
          <w:rFonts w:ascii="Times New Roman" w:hAnsi="Times New Roman" w:cs="Times New Roman"/>
          <w:sz w:val="22"/>
          <w:szCs w:val="22"/>
        </w:rPr>
        <w:t xml:space="preserve"> aspectos de la cultura material hallada en contextos arqueológicos del Antiguo Egipto. </w:t>
      </w:r>
      <w:r w:rsidR="00C607D9" w:rsidRPr="00664561">
        <w:rPr>
          <w:rStyle w:val="Refdecomentario"/>
          <w:rFonts w:ascii="Times New Roman" w:hAnsi="Times New Roman" w:cs="Times New Roman"/>
          <w:sz w:val="22"/>
          <w:szCs w:val="22"/>
        </w:rPr>
        <w:t xml:space="preserve">En este sentido, la actividad ofrece una visión general de diversas áreas de estudio dentro de la egiptología, a través de </w:t>
      </w:r>
      <w:r w:rsidR="00C607D9" w:rsidRPr="00664561">
        <w:rPr>
          <w:rFonts w:ascii="Times New Roman" w:hAnsi="Times New Roman" w:cs="Times New Roman"/>
          <w:sz w:val="22"/>
          <w:szCs w:val="22"/>
        </w:rPr>
        <w:t>las líneas de investigación y los materiales concretos en los que cada uno de los ponentes está especializado</w:t>
      </w:r>
      <w:r w:rsidRPr="00664561">
        <w:rPr>
          <w:rFonts w:ascii="Times New Roman" w:hAnsi="Times New Roman" w:cs="Times New Roman"/>
          <w:sz w:val="22"/>
          <w:szCs w:val="22"/>
        </w:rPr>
        <w:t xml:space="preserve">. </w:t>
      </w:r>
      <w:r w:rsidR="00C607D9" w:rsidRPr="00664561">
        <w:rPr>
          <w:rFonts w:ascii="Times New Roman" w:hAnsi="Times New Roman" w:cs="Times New Roman"/>
          <w:sz w:val="22"/>
          <w:szCs w:val="22"/>
        </w:rPr>
        <w:t xml:space="preserve">Entendemos que un enfoque multidisciplinar resultaría beneficioso para los asistentes al curso al proporcionarles una formación que repercutiría positivamente en el desarrollo de sus propios trabajos. </w:t>
      </w:r>
      <w:r w:rsidR="008B5D7C" w:rsidRPr="00664561">
        <w:rPr>
          <w:rFonts w:ascii="Times New Roman" w:hAnsi="Times New Roman" w:cs="Times New Roman"/>
          <w:sz w:val="22"/>
          <w:szCs w:val="22"/>
        </w:rPr>
        <w:t xml:space="preserve">Un Egiptólogo invitado realizará una ponencia final </w:t>
      </w:r>
      <w:r w:rsidR="008B5D7C">
        <w:rPr>
          <w:rFonts w:ascii="Times New Roman" w:hAnsi="Times New Roman" w:cs="Times New Roman"/>
          <w:sz w:val="22"/>
          <w:szCs w:val="22"/>
        </w:rPr>
        <w:t xml:space="preserve">y, </w:t>
      </w:r>
      <w:r w:rsidR="008B5D7C" w:rsidRPr="00664561">
        <w:rPr>
          <w:rFonts w:ascii="Times New Roman" w:hAnsi="Times New Roman" w:cs="Times New Roman"/>
          <w:sz w:val="22"/>
          <w:szCs w:val="22"/>
        </w:rPr>
        <w:t>para clausurar el curso</w:t>
      </w:r>
      <w:r w:rsidR="008B5D7C">
        <w:rPr>
          <w:rFonts w:ascii="Times New Roman" w:hAnsi="Times New Roman" w:cs="Times New Roman"/>
          <w:sz w:val="22"/>
          <w:szCs w:val="22"/>
        </w:rPr>
        <w:t xml:space="preserve">, </w:t>
      </w:r>
      <w:r w:rsidR="00D85E4A">
        <w:rPr>
          <w:rFonts w:ascii="Times New Roman" w:hAnsi="Times New Roman" w:cs="Times New Roman"/>
          <w:sz w:val="22"/>
          <w:szCs w:val="22"/>
        </w:rPr>
        <w:t xml:space="preserve">se </w:t>
      </w:r>
      <w:r w:rsidR="00EF76C9">
        <w:rPr>
          <w:rFonts w:ascii="Times New Roman" w:hAnsi="Times New Roman" w:cs="Times New Roman"/>
          <w:sz w:val="22"/>
          <w:szCs w:val="22"/>
        </w:rPr>
        <w:t>proporcionará</w:t>
      </w:r>
      <w:r w:rsidR="008B5D7C">
        <w:rPr>
          <w:rFonts w:ascii="Times New Roman" w:hAnsi="Times New Roman" w:cs="Times New Roman"/>
          <w:sz w:val="22"/>
          <w:szCs w:val="22"/>
        </w:rPr>
        <w:t xml:space="preserve"> un espacio para reflexiones y preguntas generales</w:t>
      </w:r>
      <w:r w:rsidR="008B5D7C" w:rsidRPr="00664561">
        <w:rPr>
          <w:rFonts w:ascii="Times New Roman" w:hAnsi="Times New Roman" w:cs="Times New Roman"/>
          <w:sz w:val="22"/>
          <w:szCs w:val="22"/>
        </w:rPr>
        <w:t>.</w:t>
      </w:r>
    </w:p>
    <w:p w14:paraId="2288BC3E" w14:textId="77777777" w:rsidR="00B4028D" w:rsidRDefault="00B4028D" w:rsidP="0035702B">
      <w:pPr>
        <w:spacing w:before="240" w:after="2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59AFDD" w14:textId="0C473353" w:rsidR="007D7517" w:rsidRPr="0035702B" w:rsidRDefault="007D7517" w:rsidP="0035702B">
      <w:pPr>
        <w:spacing w:before="240" w:after="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8241B">
        <w:rPr>
          <w:rFonts w:ascii="Times New Roman" w:hAnsi="Times New Roman" w:cs="Times New Roman"/>
          <w:b/>
          <w:sz w:val="22"/>
          <w:szCs w:val="22"/>
        </w:rPr>
        <w:lastRenderedPageBreak/>
        <w:t>Desarrollo del curso</w:t>
      </w:r>
    </w:p>
    <w:p w14:paraId="379583D1" w14:textId="2F185D77" w:rsidR="007D7517" w:rsidRDefault="00CD0112" w:rsidP="0035702B">
      <w:pPr>
        <w:pStyle w:val="Prrafodelista"/>
        <w:numPr>
          <w:ilvl w:val="0"/>
          <w:numId w:val="1"/>
        </w:numPr>
        <w:spacing w:before="240"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7D7517">
        <w:rPr>
          <w:rFonts w:ascii="Times New Roman" w:hAnsi="Times New Roman" w:cs="Times New Roman"/>
          <w:sz w:val="22"/>
          <w:szCs w:val="22"/>
        </w:rPr>
        <w:t xml:space="preserve">resentación oficial del curso </w:t>
      </w:r>
      <w:r w:rsidR="00197EC5">
        <w:rPr>
          <w:rFonts w:ascii="Times New Roman" w:hAnsi="Times New Roman" w:cs="Times New Roman"/>
          <w:sz w:val="22"/>
          <w:szCs w:val="22"/>
        </w:rPr>
        <w:t>a la que deberán asistir todos los inscritos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03B8744" w14:textId="68023FDD" w:rsidR="007D7517" w:rsidRDefault="00CD0112" w:rsidP="0035702B">
      <w:pPr>
        <w:pStyle w:val="Prrafodelista"/>
        <w:numPr>
          <w:ilvl w:val="0"/>
          <w:numId w:val="1"/>
        </w:numPr>
        <w:spacing w:before="240"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Las d</w:t>
      </w:r>
      <w:r w:rsidR="0018241B">
        <w:rPr>
          <w:rFonts w:ascii="Times New Roman" w:hAnsi="Times New Roman" w:cs="Times New Roman"/>
          <w:sz w:val="22"/>
          <w:szCs w:val="22"/>
        </w:rPr>
        <w:t xml:space="preserve">iferentes ponencias </w:t>
      </w:r>
      <w:r>
        <w:rPr>
          <w:rFonts w:ascii="Times New Roman" w:hAnsi="Times New Roman" w:cs="Times New Roman"/>
          <w:sz w:val="22"/>
          <w:szCs w:val="22"/>
        </w:rPr>
        <w:t>(</w:t>
      </w:r>
      <w:r w:rsidR="00197EC5">
        <w:rPr>
          <w:rFonts w:ascii="Times New Roman" w:hAnsi="Times New Roman" w:cs="Times New Roman"/>
          <w:sz w:val="22"/>
          <w:szCs w:val="22"/>
        </w:rPr>
        <w:t xml:space="preserve">videoconferencia </w:t>
      </w:r>
      <w:r w:rsidR="0018241B">
        <w:rPr>
          <w:rFonts w:ascii="Times New Roman" w:hAnsi="Times New Roman" w:cs="Times New Roman"/>
          <w:sz w:val="22"/>
          <w:szCs w:val="22"/>
        </w:rPr>
        <w:t>o video grabado, si no es posible la videoconferencia</w:t>
      </w:r>
      <w:r>
        <w:rPr>
          <w:rFonts w:ascii="Times New Roman" w:hAnsi="Times New Roman" w:cs="Times New Roman"/>
          <w:sz w:val="22"/>
          <w:szCs w:val="22"/>
        </w:rPr>
        <w:t>)</w:t>
      </w:r>
      <w:r w:rsidR="001824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Serán de</w:t>
      </w:r>
      <w:r w:rsidR="0018241B">
        <w:rPr>
          <w:rFonts w:ascii="Times New Roman" w:hAnsi="Times New Roman" w:cs="Times New Roman"/>
          <w:sz w:val="22"/>
          <w:szCs w:val="22"/>
        </w:rPr>
        <w:t xml:space="preserve"> aproximadamente una hora y media </w:t>
      </w:r>
      <w:r>
        <w:rPr>
          <w:rFonts w:ascii="Times New Roman" w:hAnsi="Times New Roman" w:cs="Times New Roman"/>
          <w:sz w:val="22"/>
          <w:szCs w:val="22"/>
        </w:rPr>
        <w:t xml:space="preserve">de duración, </w:t>
      </w:r>
      <w:r w:rsidR="0018241B">
        <w:rPr>
          <w:rFonts w:ascii="Times New Roman" w:hAnsi="Times New Roman" w:cs="Times New Roman"/>
          <w:sz w:val="22"/>
          <w:szCs w:val="22"/>
        </w:rPr>
        <w:t>seguida de un turno de preguntas</w:t>
      </w:r>
      <w:r w:rsidR="00AE4BEA">
        <w:rPr>
          <w:rFonts w:ascii="Times New Roman" w:hAnsi="Times New Roman" w:cs="Times New Roman"/>
          <w:sz w:val="22"/>
          <w:szCs w:val="22"/>
        </w:rPr>
        <w:t xml:space="preserve"> como máximo</w:t>
      </w:r>
      <w:r w:rsidR="0018241B">
        <w:rPr>
          <w:rFonts w:ascii="Times New Roman" w:hAnsi="Times New Roman" w:cs="Times New Roman"/>
          <w:sz w:val="22"/>
          <w:szCs w:val="22"/>
        </w:rPr>
        <w:t xml:space="preserve"> de </w:t>
      </w:r>
      <w:r w:rsidR="005F28CA">
        <w:rPr>
          <w:rFonts w:ascii="Times New Roman" w:hAnsi="Times New Roman" w:cs="Times New Roman"/>
          <w:sz w:val="22"/>
          <w:szCs w:val="22"/>
        </w:rPr>
        <w:t>treinta</w:t>
      </w:r>
      <w:r w:rsidR="0018241B">
        <w:rPr>
          <w:rFonts w:ascii="Times New Roman" w:hAnsi="Times New Roman" w:cs="Times New Roman"/>
          <w:sz w:val="22"/>
          <w:szCs w:val="22"/>
        </w:rPr>
        <w:t xml:space="preserve"> minutos (</w:t>
      </w:r>
      <w:r>
        <w:rPr>
          <w:rFonts w:ascii="Times New Roman" w:hAnsi="Times New Roman" w:cs="Times New Roman"/>
          <w:sz w:val="22"/>
          <w:szCs w:val="22"/>
        </w:rPr>
        <w:t>q</w:t>
      </w:r>
      <w:r w:rsidR="0018241B">
        <w:rPr>
          <w:rFonts w:ascii="Times New Roman" w:hAnsi="Times New Roman" w:cs="Times New Roman"/>
          <w:sz w:val="22"/>
          <w:szCs w:val="22"/>
        </w:rPr>
        <w:t>ue siempre será por videoconferencia)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5BE9809" w14:textId="7D46D038" w:rsidR="00CD0112" w:rsidRDefault="00CD0112" w:rsidP="0035702B">
      <w:pPr>
        <w:pStyle w:val="Prrafodelista"/>
        <w:numPr>
          <w:ilvl w:val="0"/>
          <w:numId w:val="1"/>
        </w:numPr>
        <w:spacing w:before="240"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Conferencia invitada final (videoconferencia o video grabado);</w:t>
      </w:r>
    </w:p>
    <w:p w14:paraId="471643E7" w14:textId="4F8F9D34" w:rsidR="007D7517" w:rsidRPr="00B4028D" w:rsidRDefault="00197EC5" w:rsidP="0035702B">
      <w:pPr>
        <w:pStyle w:val="Prrafodelista"/>
        <w:numPr>
          <w:ilvl w:val="0"/>
          <w:numId w:val="1"/>
        </w:numPr>
        <w:spacing w:before="240"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 taller de reflexión se llevará a cabo por videoconferencia, a la que deberán asistir todos los inscritos</w:t>
      </w:r>
      <w:r w:rsidR="00CD0112">
        <w:rPr>
          <w:rFonts w:ascii="Times New Roman" w:hAnsi="Times New Roman" w:cs="Times New Roman"/>
          <w:sz w:val="22"/>
          <w:szCs w:val="22"/>
        </w:rPr>
        <w:t>.</w:t>
      </w:r>
    </w:p>
    <w:p w14:paraId="0170E209" w14:textId="719341A4" w:rsidR="00B92F42" w:rsidRPr="0035702B" w:rsidRDefault="007D7517" w:rsidP="0035702B">
      <w:pPr>
        <w:spacing w:before="240" w:after="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2"/>
          <w:szCs w:val="22"/>
        </w:rPr>
        <w:t>Destinatarios del curso</w:t>
      </w:r>
    </w:p>
    <w:p w14:paraId="4FC9CE24" w14:textId="394A2FE2" w:rsidR="00517F09" w:rsidRPr="00664561" w:rsidRDefault="00B92F42" w:rsidP="0035702B">
      <w:pPr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4561">
        <w:rPr>
          <w:rFonts w:ascii="Times New Roman" w:hAnsi="Times New Roman" w:cs="Times New Roman"/>
          <w:sz w:val="22"/>
          <w:szCs w:val="22"/>
        </w:rPr>
        <w:t>Este curso está enfocado en primer lugar a los alumnos de doctorado dentro del programa de actividades formativas del programa de Historia y Artes</w:t>
      </w:r>
      <w:r w:rsidR="00BB445C">
        <w:rPr>
          <w:rFonts w:ascii="Times New Roman" w:hAnsi="Times New Roman" w:cs="Times New Roman"/>
          <w:sz w:val="22"/>
          <w:szCs w:val="22"/>
        </w:rPr>
        <w:t>, así como a aquellos procedentes de otros programas de doctorado de la UGR</w:t>
      </w:r>
      <w:r w:rsidRPr="00664561">
        <w:rPr>
          <w:rFonts w:ascii="Times New Roman" w:hAnsi="Times New Roman" w:cs="Times New Roman"/>
          <w:sz w:val="22"/>
          <w:szCs w:val="22"/>
        </w:rPr>
        <w:t>. En segundo lugar, podrán asistir</w:t>
      </w:r>
      <w:r w:rsidR="00BB445C">
        <w:rPr>
          <w:rFonts w:ascii="Times New Roman" w:hAnsi="Times New Roman" w:cs="Times New Roman"/>
          <w:sz w:val="22"/>
          <w:szCs w:val="22"/>
        </w:rPr>
        <w:t>,</w:t>
      </w:r>
      <w:r w:rsidRPr="00664561">
        <w:rPr>
          <w:rFonts w:ascii="Times New Roman" w:hAnsi="Times New Roman" w:cs="Times New Roman"/>
          <w:sz w:val="22"/>
          <w:szCs w:val="22"/>
        </w:rPr>
        <w:t xml:space="preserve"> bajo la condición de que queden plazas disponibles, los alumnos interesados del </w:t>
      </w:r>
      <w:r w:rsidRPr="00664561">
        <w:rPr>
          <w:rFonts w:ascii="Times New Roman" w:hAnsi="Times New Roman" w:cs="Times New Roman"/>
          <w:bCs/>
          <w:sz w:val="22"/>
          <w:szCs w:val="22"/>
        </w:rPr>
        <w:t>Grado de Arqueología y del Grado de Historia</w:t>
      </w:r>
      <w:r w:rsidR="00BB445C">
        <w:rPr>
          <w:rFonts w:ascii="Times New Roman" w:hAnsi="Times New Roman" w:cs="Times New Roman"/>
          <w:bCs/>
          <w:sz w:val="22"/>
          <w:szCs w:val="22"/>
        </w:rPr>
        <w:t xml:space="preserve"> de la UGR</w:t>
      </w:r>
      <w:r w:rsidRPr="00664561">
        <w:rPr>
          <w:rFonts w:ascii="Times New Roman" w:hAnsi="Times New Roman" w:cs="Times New Roman"/>
          <w:bCs/>
          <w:sz w:val="22"/>
          <w:szCs w:val="22"/>
        </w:rPr>
        <w:t>. Las pla</w:t>
      </w:r>
      <w:r w:rsidR="00517F09" w:rsidRPr="00664561">
        <w:rPr>
          <w:rFonts w:ascii="Times New Roman" w:hAnsi="Times New Roman" w:cs="Times New Roman"/>
          <w:bCs/>
          <w:sz w:val="22"/>
          <w:szCs w:val="22"/>
        </w:rPr>
        <w:t xml:space="preserve">zas que queden </w:t>
      </w:r>
      <w:r w:rsidRPr="00664561">
        <w:rPr>
          <w:rFonts w:ascii="Times New Roman" w:hAnsi="Times New Roman" w:cs="Times New Roman"/>
          <w:bCs/>
          <w:sz w:val="22"/>
          <w:szCs w:val="22"/>
        </w:rPr>
        <w:t xml:space="preserve">libres podrán ser asignadas </w:t>
      </w:r>
      <w:r w:rsidR="00BB445C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Pr="00664561">
        <w:rPr>
          <w:rFonts w:ascii="Times New Roman" w:hAnsi="Times New Roman" w:cs="Times New Roman"/>
          <w:bCs/>
          <w:sz w:val="22"/>
          <w:szCs w:val="22"/>
        </w:rPr>
        <w:t xml:space="preserve">alumnos del Master de Arqueología </w:t>
      </w:r>
      <w:r w:rsidR="00BB445C">
        <w:rPr>
          <w:rFonts w:ascii="Times New Roman" w:hAnsi="Times New Roman" w:cs="Times New Roman"/>
          <w:bCs/>
          <w:sz w:val="22"/>
          <w:szCs w:val="22"/>
        </w:rPr>
        <w:t>de la UGR</w:t>
      </w:r>
      <w:r w:rsidR="00FC14C3">
        <w:rPr>
          <w:rFonts w:ascii="Times New Roman" w:hAnsi="Times New Roman" w:cs="Times New Roman"/>
          <w:bCs/>
          <w:sz w:val="22"/>
          <w:szCs w:val="22"/>
        </w:rPr>
        <w:t>. También son bienvenidas</w:t>
      </w:r>
      <w:r w:rsidRPr="00664561">
        <w:rPr>
          <w:rFonts w:ascii="Times New Roman" w:hAnsi="Times New Roman" w:cs="Times New Roman"/>
          <w:bCs/>
          <w:sz w:val="22"/>
          <w:szCs w:val="22"/>
        </w:rPr>
        <w:t xml:space="preserve"> personas interesadas procedentes de otros ámbitos</w:t>
      </w:r>
      <w:r w:rsidR="00FC14C3">
        <w:rPr>
          <w:rFonts w:ascii="Times New Roman" w:hAnsi="Times New Roman" w:cs="Times New Roman"/>
          <w:bCs/>
          <w:sz w:val="22"/>
          <w:szCs w:val="22"/>
        </w:rPr>
        <w:t xml:space="preserve"> o instituciones. </w:t>
      </w:r>
    </w:p>
    <w:p w14:paraId="250AAF70" w14:textId="6E1BBBF4" w:rsidR="0035702B" w:rsidRDefault="00B92F42" w:rsidP="0035702B">
      <w:pPr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4561">
        <w:rPr>
          <w:rFonts w:ascii="Times New Roman" w:hAnsi="Times New Roman" w:cs="Times New Roman"/>
          <w:bCs/>
          <w:sz w:val="22"/>
          <w:szCs w:val="22"/>
        </w:rPr>
        <w:t xml:space="preserve">Los alumnos del Grado de </w:t>
      </w:r>
      <w:r w:rsidR="004A5102" w:rsidRPr="00664561">
        <w:rPr>
          <w:rFonts w:ascii="Times New Roman" w:hAnsi="Times New Roman" w:cs="Times New Roman"/>
          <w:bCs/>
          <w:sz w:val="22"/>
          <w:szCs w:val="22"/>
        </w:rPr>
        <w:t xml:space="preserve">Arqueología y del </w:t>
      </w:r>
      <w:r w:rsidR="00517F09" w:rsidRPr="00664561">
        <w:rPr>
          <w:rFonts w:ascii="Times New Roman" w:hAnsi="Times New Roman" w:cs="Times New Roman"/>
          <w:bCs/>
          <w:sz w:val="22"/>
          <w:szCs w:val="22"/>
        </w:rPr>
        <w:t>G</w:t>
      </w:r>
      <w:r w:rsidR="004A5102" w:rsidRPr="00664561">
        <w:rPr>
          <w:rFonts w:ascii="Times New Roman" w:hAnsi="Times New Roman" w:cs="Times New Roman"/>
          <w:bCs/>
          <w:sz w:val="22"/>
          <w:szCs w:val="22"/>
        </w:rPr>
        <w:t xml:space="preserve">rado de </w:t>
      </w:r>
      <w:r w:rsidRPr="00664561">
        <w:rPr>
          <w:rFonts w:ascii="Times New Roman" w:hAnsi="Times New Roman" w:cs="Times New Roman"/>
          <w:bCs/>
          <w:sz w:val="22"/>
          <w:szCs w:val="22"/>
        </w:rPr>
        <w:t xml:space="preserve">Historia </w:t>
      </w:r>
      <w:r w:rsidR="0035702B">
        <w:rPr>
          <w:rFonts w:ascii="Times New Roman" w:hAnsi="Times New Roman" w:cs="Times New Roman"/>
          <w:bCs/>
          <w:sz w:val="22"/>
          <w:szCs w:val="22"/>
        </w:rPr>
        <w:t xml:space="preserve">de la UGR </w:t>
      </w:r>
      <w:r w:rsidR="001E4E20" w:rsidRPr="00664561">
        <w:rPr>
          <w:rFonts w:ascii="Times New Roman" w:hAnsi="Times New Roman" w:cs="Times New Roman"/>
          <w:bCs/>
          <w:sz w:val="22"/>
          <w:szCs w:val="22"/>
        </w:rPr>
        <w:t>podrán optar al reconocimiento de un máximo de dos créditos</w:t>
      </w:r>
      <w:r w:rsidR="00BB2A3E">
        <w:rPr>
          <w:rFonts w:ascii="Times New Roman" w:hAnsi="Times New Roman" w:cs="Times New Roman"/>
          <w:bCs/>
          <w:sz w:val="22"/>
          <w:szCs w:val="22"/>
        </w:rPr>
        <w:t xml:space="preserve"> oficiales</w:t>
      </w:r>
      <w:r w:rsidR="001E4E20" w:rsidRPr="006645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35702B">
        <w:rPr>
          <w:rFonts w:ascii="Times New Roman" w:hAnsi="Times New Roman" w:cs="Times New Roman"/>
          <w:bCs/>
          <w:sz w:val="22"/>
          <w:szCs w:val="22"/>
        </w:rPr>
        <w:t>Alumnos de doctorado, de grado o de máster de otras universidades deberán solicitar a su organismo correspondiente la convalidación de los créditos o de la actividad mediante el certificado que se remitirá al finalizar el curso</w:t>
      </w:r>
      <w:r w:rsidR="0035702B" w:rsidRPr="00664561">
        <w:rPr>
          <w:rFonts w:ascii="Times New Roman" w:hAnsi="Times New Roman" w:cs="Times New Roman"/>
          <w:bCs/>
          <w:sz w:val="22"/>
          <w:szCs w:val="22"/>
        </w:rPr>
        <w:t>.</w:t>
      </w:r>
      <w:r w:rsidR="0035702B" w:rsidRPr="0035702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FD5A4F3" w14:textId="39066B17" w:rsidR="00BB1932" w:rsidRPr="00664561" w:rsidRDefault="0035702B" w:rsidP="0035702B">
      <w:pPr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4561">
        <w:rPr>
          <w:rFonts w:ascii="Times New Roman" w:hAnsi="Times New Roman" w:cs="Times New Roman"/>
          <w:bCs/>
          <w:sz w:val="22"/>
          <w:szCs w:val="22"/>
        </w:rPr>
        <w:t>A excepción de los alumnos del programa de doctorado de Historia y Artes</w:t>
      </w:r>
      <w:r>
        <w:rPr>
          <w:rFonts w:ascii="Times New Roman" w:hAnsi="Times New Roman" w:cs="Times New Roman"/>
          <w:bCs/>
          <w:sz w:val="22"/>
          <w:szCs w:val="22"/>
        </w:rPr>
        <w:t xml:space="preserve"> y de otros programas de doctorado de la UGR</w:t>
      </w:r>
      <w:r w:rsidRPr="00664561">
        <w:rPr>
          <w:rFonts w:ascii="Times New Roman" w:hAnsi="Times New Roman" w:cs="Times New Roman"/>
          <w:bCs/>
          <w:sz w:val="22"/>
          <w:szCs w:val="22"/>
        </w:rPr>
        <w:t xml:space="preserve">, los demás asistentes deberán formalizar una matrícula con una cuota de </w:t>
      </w:r>
      <w:r>
        <w:rPr>
          <w:rFonts w:ascii="Times New Roman" w:hAnsi="Times New Roman" w:cs="Times New Roman"/>
          <w:bCs/>
          <w:sz w:val="22"/>
          <w:szCs w:val="22"/>
        </w:rPr>
        <w:t>2</w:t>
      </w:r>
      <w:r w:rsidRPr="00664561">
        <w:rPr>
          <w:rFonts w:ascii="Times New Roman" w:hAnsi="Times New Roman" w:cs="Times New Roman"/>
          <w:bCs/>
          <w:sz w:val="22"/>
          <w:szCs w:val="22"/>
        </w:rPr>
        <w:t xml:space="preserve">0 euros. </w:t>
      </w:r>
    </w:p>
    <w:p w14:paraId="5FD941FC" w14:textId="0BC8C7EF" w:rsidR="00D73DD3" w:rsidRPr="00695628" w:rsidRDefault="00D73DD3" w:rsidP="0035702B">
      <w:pPr>
        <w:spacing w:before="240" w:after="24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64561">
        <w:rPr>
          <w:rFonts w:ascii="Times New Roman" w:hAnsi="Times New Roman" w:cs="Times New Roman"/>
          <w:b/>
          <w:bCs/>
          <w:iCs/>
          <w:sz w:val="22"/>
          <w:szCs w:val="22"/>
        </w:rPr>
        <w:t>Evaluación</w:t>
      </w:r>
      <w:r w:rsidRPr="00664561">
        <w:rPr>
          <w:rFonts w:ascii="Times New Roman" w:hAnsi="Times New Roman" w:cs="Times New Roman"/>
          <w:b/>
          <w:iCs/>
          <w:sz w:val="22"/>
          <w:szCs w:val="22"/>
        </w:rPr>
        <w:t>:</w:t>
      </w:r>
    </w:p>
    <w:p w14:paraId="3F1C201B" w14:textId="7DA17F0C" w:rsidR="006905FC" w:rsidRDefault="00D73DD3" w:rsidP="0035702B">
      <w:pPr>
        <w:pStyle w:val="Prrafodelista"/>
        <w:numPr>
          <w:ilvl w:val="0"/>
          <w:numId w:val="1"/>
        </w:numPr>
        <w:spacing w:before="240" w:after="24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905FC">
        <w:rPr>
          <w:rFonts w:ascii="Times New Roman" w:hAnsi="Times New Roman" w:cs="Times New Roman"/>
          <w:bCs/>
          <w:sz w:val="22"/>
          <w:szCs w:val="22"/>
        </w:rPr>
        <w:t>Se pasará lista para verificar la asistencia</w:t>
      </w:r>
      <w:r w:rsidR="0018241B" w:rsidRPr="006905FC">
        <w:rPr>
          <w:rFonts w:ascii="Times New Roman" w:hAnsi="Times New Roman" w:cs="Times New Roman"/>
          <w:bCs/>
          <w:sz w:val="22"/>
          <w:szCs w:val="22"/>
        </w:rPr>
        <w:t xml:space="preserve"> de los inscritos en el curso mediante la aplicación online</w:t>
      </w:r>
      <w:r w:rsidR="00695628">
        <w:rPr>
          <w:rFonts w:ascii="Times New Roman" w:hAnsi="Times New Roman" w:cs="Times New Roman"/>
          <w:bCs/>
          <w:sz w:val="22"/>
          <w:szCs w:val="22"/>
        </w:rPr>
        <w:t>. Se deberá asistir como mínimo al 80% del curso para poder optar al certificado de asistencia</w:t>
      </w:r>
      <w:r w:rsidR="00C140F8">
        <w:rPr>
          <w:rFonts w:ascii="Times New Roman" w:hAnsi="Times New Roman" w:cs="Times New Roman"/>
          <w:bCs/>
          <w:sz w:val="22"/>
          <w:szCs w:val="22"/>
        </w:rPr>
        <w:t>;</w:t>
      </w:r>
    </w:p>
    <w:p w14:paraId="6808FD4E" w14:textId="3C6DFA5D" w:rsidR="006905FC" w:rsidRDefault="00C140F8" w:rsidP="0035702B">
      <w:pPr>
        <w:pStyle w:val="Prrafodelista"/>
        <w:numPr>
          <w:ilvl w:val="0"/>
          <w:numId w:val="1"/>
        </w:numPr>
        <w:spacing w:before="240" w:after="240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Ú</w:t>
      </w:r>
      <w:r w:rsidRPr="00664561">
        <w:rPr>
          <w:rFonts w:ascii="Times New Roman" w:hAnsi="Times New Roman" w:cs="Times New Roman"/>
          <w:b/>
          <w:bCs/>
          <w:iCs/>
          <w:sz w:val="22"/>
          <w:szCs w:val="22"/>
        </w:rPr>
        <w:t>nicamente para los alumnos del</w:t>
      </w:r>
      <w:r w:rsidRPr="006645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64561">
        <w:rPr>
          <w:rFonts w:ascii="Times New Roman" w:hAnsi="Times New Roman" w:cs="Times New Roman"/>
          <w:b/>
          <w:sz w:val="22"/>
          <w:szCs w:val="22"/>
        </w:rPr>
        <w:t>Grado de Arqueología y del Grado de Historia</w:t>
      </w:r>
      <w:r w:rsidR="00086C46">
        <w:rPr>
          <w:rFonts w:ascii="Times New Roman" w:hAnsi="Times New Roman" w:cs="Times New Roman"/>
          <w:b/>
          <w:sz w:val="22"/>
          <w:szCs w:val="22"/>
        </w:rPr>
        <w:t xml:space="preserve"> de la UGR o de otros organismos que aspiren a convalidación de créditos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D73DD3" w:rsidRPr="006905FC">
        <w:rPr>
          <w:rFonts w:ascii="Times New Roman" w:hAnsi="Times New Roman" w:cs="Times New Roman"/>
          <w:bCs/>
          <w:sz w:val="22"/>
          <w:szCs w:val="22"/>
        </w:rPr>
        <w:t>Cada asistente deberá realizar un</w:t>
      </w:r>
      <w:r w:rsidR="0018241B" w:rsidRPr="006905FC">
        <w:rPr>
          <w:rFonts w:ascii="Times New Roman" w:hAnsi="Times New Roman" w:cs="Times New Roman"/>
          <w:bCs/>
          <w:sz w:val="22"/>
          <w:szCs w:val="22"/>
        </w:rPr>
        <w:t xml:space="preserve"> pequeño</w:t>
      </w:r>
      <w:r w:rsidR="00D73DD3" w:rsidRPr="006905FC">
        <w:rPr>
          <w:rFonts w:ascii="Times New Roman" w:hAnsi="Times New Roman" w:cs="Times New Roman"/>
          <w:bCs/>
          <w:sz w:val="22"/>
          <w:szCs w:val="22"/>
        </w:rPr>
        <w:t xml:space="preserve"> trabajo</w:t>
      </w:r>
      <w:r w:rsidR="0020484B" w:rsidRPr="006905FC">
        <w:rPr>
          <w:rFonts w:ascii="Times New Roman" w:hAnsi="Times New Roman" w:cs="Times New Roman"/>
          <w:bCs/>
          <w:sz w:val="22"/>
          <w:szCs w:val="22"/>
        </w:rPr>
        <w:t xml:space="preserve"> de investigación</w:t>
      </w:r>
      <w:r w:rsidR="00D73DD3" w:rsidRPr="006905F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8241B" w:rsidRPr="006905FC">
        <w:rPr>
          <w:rFonts w:ascii="Times New Roman" w:hAnsi="Times New Roman" w:cs="Times New Roman"/>
          <w:bCs/>
          <w:sz w:val="22"/>
          <w:szCs w:val="22"/>
        </w:rPr>
        <w:t xml:space="preserve">tutorizado </w:t>
      </w:r>
      <w:r w:rsidR="00D73DD3" w:rsidRPr="006905FC">
        <w:rPr>
          <w:rFonts w:ascii="Times New Roman" w:hAnsi="Times New Roman" w:cs="Times New Roman"/>
          <w:bCs/>
          <w:sz w:val="22"/>
          <w:szCs w:val="22"/>
        </w:rPr>
        <w:t>a elección entre los diferentes temas que se han p</w:t>
      </w:r>
      <w:r w:rsidR="0018241B" w:rsidRPr="006905FC">
        <w:rPr>
          <w:rFonts w:ascii="Times New Roman" w:hAnsi="Times New Roman" w:cs="Times New Roman"/>
          <w:bCs/>
          <w:sz w:val="22"/>
          <w:szCs w:val="22"/>
        </w:rPr>
        <w:t>resentado a lo largo del curso.</w:t>
      </w:r>
      <w:r>
        <w:rPr>
          <w:rFonts w:ascii="Times New Roman" w:hAnsi="Times New Roman" w:cs="Times New Roman"/>
          <w:bCs/>
          <w:sz w:val="22"/>
          <w:szCs w:val="22"/>
        </w:rPr>
        <w:t xml:space="preserve"> Se darán más detalles sobre esta cuestión durante la realización del mismo.</w:t>
      </w:r>
    </w:p>
    <w:p w14:paraId="04502374" w14:textId="44BEC68D" w:rsidR="003C2A81" w:rsidRDefault="003C2A81" w:rsidP="0035702B">
      <w:pPr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B2029DA" w14:textId="3B29CA0E" w:rsidR="00AE6E74" w:rsidRPr="003C2A81" w:rsidRDefault="00AE6E74" w:rsidP="0035702B">
      <w:pPr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1AAAC4F" w14:textId="438D7749" w:rsidR="00AE6E74" w:rsidRDefault="00AE6E74" w:rsidP="0035702B">
      <w:pPr>
        <w:spacing w:before="240" w:after="240"/>
        <w:ind w:left="851" w:hanging="425"/>
        <w:jc w:val="both"/>
      </w:pPr>
    </w:p>
    <w:p w14:paraId="2526000A" w14:textId="3A5D0C6A" w:rsidR="00AE6E74" w:rsidRDefault="00AE6E74" w:rsidP="0035702B">
      <w:pPr>
        <w:spacing w:before="240" w:after="240"/>
        <w:jc w:val="both"/>
      </w:pPr>
    </w:p>
    <w:p w14:paraId="1EB207A4" w14:textId="5EE801DA" w:rsidR="00AE6E74" w:rsidRDefault="00AE6E74" w:rsidP="0035702B">
      <w:pPr>
        <w:spacing w:before="240" w:after="240"/>
        <w:jc w:val="both"/>
      </w:pPr>
    </w:p>
    <w:p w14:paraId="059BFF7C" w14:textId="1E574621" w:rsidR="00AE6E74" w:rsidRDefault="00AE6E74" w:rsidP="0035702B">
      <w:pPr>
        <w:spacing w:before="240" w:after="240"/>
        <w:jc w:val="both"/>
      </w:pPr>
    </w:p>
    <w:p w14:paraId="152A2201" w14:textId="455F2AA8" w:rsidR="00AE6E74" w:rsidRDefault="00AE6E74" w:rsidP="0035702B">
      <w:pPr>
        <w:spacing w:before="240" w:after="240"/>
        <w:jc w:val="both"/>
      </w:pPr>
    </w:p>
    <w:p w14:paraId="1A2B2778" w14:textId="70A81013" w:rsidR="00E0318F" w:rsidRDefault="00E0318F" w:rsidP="0035702B">
      <w:pPr>
        <w:spacing w:before="240" w:after="240"/>
        <w:jc w:val="both"/>
        <w:sectPr w:rsidR="00E0318F" w:rsidSect="00D72669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692ECEF" w14:textId="2E195DB7" w:rsidR="005C5461" w:rsidRDefault="005C5461" w:rsidP="00CB6376">
      <w:pPr>
        <w:pStyle w:val="Cita"/>
        <w:spacing w:before="240" w:after="240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64561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lastRenderedPageBreak/>
        <w:t>Programa del Actividad:</w:t>
      </w:r>
    </w:p>
    <w:p w14:paraId="4E6FB256" w14:textId="77777777" w:rsidR="00CB6376" w:rsidRPr="00CB6376" w:rsidRDefault="00CB6376" w:rsidP="00CB6376"/>
    <w:tbl>
      <w:tblPr>
        <w:tblW w:w="13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2551"/>
        <w:gridCol w:w="2552"/>
        <w:gridCol w:w="2527"/>
        <w:gridCol w:w="2516"/>
      </w:tblGrid>
      <w:tr w:rsidR="00A01C95" w:rsidRPr="00720580" w14:paraId="09D75163" w14:textId="77777777" w:rsidTr="00A01C9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3297C2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4C166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Día 1: 22/11/2021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AC2A51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Día 2: 23/11/2021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E02B1C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Día 3: 24/11/2021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2A82A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Día 4: 25/11/2021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5A28AD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Día 5: 26/11/2021</w:t>
            </w:r>
          </w:p>
        </w:tc>
      </w:tr>
      <w:tr w:rsidR="00A01C95" w:rsidRPr="00720580" w14:paraId="65C6F34A" w14:textId="77777777" w:rsidTr="00A01C95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5A02F5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15:30-16:00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2920" w14:textId="77777777" w:rsidR="00720580" w:rsidRPr="00720580" w:rsidRDefault="00720580" w:rsidP="00A01C95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sz w:val="20"/>
                <w:szCs w:val="20"/>
              </w:rPr>
              <w:t>Presentación y apertura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8C56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Carmen </w:t>
            </w:r>
            <w:proofErr w:type="spellStart"/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Muñoz</w:t>
            </w:r>
            <w:proofErr w:type="spellEnd"/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Pérez</w:t>
            </w:r>
          </w:p>
          <w:p w14:paraId="6662A5AB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Universidad</w:t>
            </w:r>
            <w:proofErr w:type="spellEnd"/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de Montpellier, École du Louvre</w:t>
            </w:r>
          </w:p>
          <w:p w14:paraId="717A7692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sz w:val="20"/>
                <w:szCs w:val="20"/>
              </w:rPr>
              <w:t>Los amuletos egipcios como fuente de estudio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BCFF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Linda Chapon</w:t>
            </w:r>
          </w:p>
          <w:p w14:paraId="30164327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Universidad de Granada</w:t>
            </w:r>
          </w:p>
          <w:p w14:paraId="611AF1B4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sz w:val="20"/>
                <w:szCs w:val="20"/>
              </w:rPr>
              <w:t>Una aproximación al estudio de los restos humanos y la momificación en el Antiguo Egipto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829F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Juan Francisco Bermúdez Calle</w:t>
            </w:r>
          </w:p>
          <w:p w14:paraId="581AEDBE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Universidad de Granada</w:t>
            </w:r>
          </w:p>
          <w:p w14:paraId="1C1F8604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sz w:val="20"/>
                <w:szCs w:val="20"/>
              </w:rPr>
              <w:t>La estatuaria: el Reino Antiguo como caso de estudio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501D4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Eva María Montes Moya</w:t>
            </w:r>
          </w:p>
          <w:p w14:paraId="3E03C23C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Universidad de Jaén</w:t>
            </w:r>
          </w:p>
          <w:p w14:paraId="313F55AF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noProof/>
                <w:sz w:val="20"/>
                <w:szCs w:val="20"/>
              </w:rPr>
              <w:t>La arqueobotánica como herramienta para el estudio del Antiguo Egipto</w:t>
            </w:r>
          </w:p>
        </w:tc>
      </w:tr>
      <w:tr w:rsidR="00A01C95" w:rsidRPr="00720580" w14:paraId="2E1F54F5" w14:textId="77777777" w:rsidTr="00A01C95">
        <w:trPr>
          <w:trHeight w:val="9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703A1F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16:00-17:30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81BE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María Franco González</w:t>
            </w:r>
          </w:p>
          <w:p w14:paraId="7BE81EA0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Universidad de Granada</w:t>
            </w:r>
          </w:p>
          <w:p w14:paraId="12EBE0B4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sz w:val="20"/>
                <w:szCs w:val="20"/>
              </w:rPr>
              <w:t>Juegos y juguetes en el Egipto faraónico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278A" w14:textId="77777777" w:rsidR="00720580" w:rsidRPr="00720580" w:rsidRDefault="00720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C447" w14:textId="77777777" w:rsidR="00720580" w:rsidRPr="00720580" w:rsidRDefault="007205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3CE67" w14:textId="77777777" w:rsidR="00720580" w:rsidRPr="00720580" w:rsidRDefault="00720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233F0" w14:textId="77777777" w:rsidR="00720580" w:rsidRPr="00720580" w:rsidRDefault="00720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580" w:rsidRPr="00720580" w14:paraId="141B936E" w14:textId="77777777" w:rsidTr="00A01C95">
        <w:trPr>
          <w:trHeight w:val="4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0AFB85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17:30-18:00</w:t>
            </w:r>
          </w:p>
        </w:tc>
        <w:tc>
          <w:tcPr>
            <w:tcW w:w="1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75FDFDA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Pausa</w:t>
            </w:r>
          </w:p>
        </w:tc>
      </w:tr>
      <w:tr w:rsidR="00A01C95" w:rsidRPr="00720580" w14:paraId="404C817A" w14:textId="77777777" w:rsidTr="00A01C95">
        <w:trPr>
          <w:trHeight w:val="14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F3964A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sz w:val="20"/>
                <w:szCs w:val="20"/>
              </w:rPr>
              <w:t>18:00-19:00</w:t>
            </w:r>
          </w:p>
          <w:p w14:paraId="1BD9589F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8707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Daniel </w:t>
            </w:r>
            <w:proofErr w:type="spellStart"/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Sánchez</w:t>
            </w:r>
            <w:proofErr w:type="spellEnd"/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Muñoz</w:t>
            </w:r>
            <w:proofErr w:type="spellEnd"/>
          </w:p>
          <w:p w14:paraId="602E16E2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Save Ancient </w:t>
            </w:r>
            <w:proofErr w:type="spellStart"/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Studies</w:t>
            </w:r>
            <w:proofErr w:type="spellEnd"/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 xml:space="preserve"> Alliance</w:t>
            </w:r>
            <w:r w:rsidRPr="0072058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14:paraId="5FE5E308" w14:textId="05EB5708" w:rsidR="00720580" w:rsidRPr="006C4E60" w:rsidRDefault="00720580" w:rsidP="006C4E6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sz w:val="20"/>
                <w:szCs w:val="20"/>
              </w:rPr>
              <w:t>Los instrumentos musicales en el Antiguo Egipto: Una introducción multidisciplinar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84F3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Raúl Sánchez Casado</w:t>
            </w:r>
          </w:p>
          <w:p w14:paraId="665005FD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Universidad de Granada</w:t>
            </w:r>
          </w:p>
          <w:p w14:paraId="27029F17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sz w:val="20"/>
                <w:szCs w:val="20"/>
              </w:rPr>
              <w:t xml:space="preserve">Claves para el análisis de las figurillas funerarias </w:t>
            </w:r>
            <w:proofErr w:type="spellStart"/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shabty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0994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Juan Jesús Padilla Fernández</w:t>
            </w:r>
          </w:p>
          <w:p w14:paraId="0BE22C8A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Universidad de Salamanca</w:t>
            </w:r>
          </w:p>
          <w:p w14:paraId="7ED35F54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sz w:val="20"/>
                <w:szCs w:val="20"/>
              </w:rPr>
              <w:t>El adobe: un elemento constructivo esencial en el país del Nilo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185F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Jonatán Ortiz García</w:t>
            </w:r>
          </w:p>
          <w:p w14:paraId="419CBBEB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Universidad de Alcalá</w:t>
            </w:r>
          </w:p>
          <w:p w14:paraId="34E2042F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sz w:val="20"/>
                <w:szCs w:val="20"/>
              </w:rPr>
              <w:t>Fuentes para el estudio de la producción y el trabajo textil de los antiguos egipcios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C7426F" w14:textId="7B5241A6" w:rsidR="00720580" w:rsidRPr="000A3B54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Cs/>
                <w:sz w:val="20"/>
                <w:szCs w:val="20"/>
              </w:rPr>
              <w:t>Clausura del curso con la intervención de</w:t>
            </w:r>
            <w:r w:rsidR="009A4D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r w:rsidR="009A4D00" w:rsidRPr="009A4D00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Pr="007205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5974">
              <w:rPr>
                <w:rFonts w:ascii="Times New Roman" w:hAnsi="Times New Roman" w:cs="Times New Roman"/>
                <w:b/>
                <w:sz w:val="20"/>
                <w:szCs w:val="20"/>
              </w:rPr>
              <w:t>Hourig</w:t>
            </w:r>
            <w:proofErr w:type="spellEnd"/>
            <w:r w:rsidRPr="001359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5974">
              <w:rPr>
                <w:rFonts w:ascii="Times New Roman" w:hAnsi="Times New Roman" w:cs="Times New Roman"/>
                <w:b/>
                <w:sz w:val="20"/>
                <w:szCs w:val="20"/>
              </w:rPr>
              <w:t>Sourouzian</w:t>
            </w:r>
            <w:proofErr w:type="spellEnd"/>
            <w:r w:rsidRPr="007205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directora de </w:t>
            </w:r>
            <w:proofErr w:type="spellStart"/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Colossi</w:t>
            </w:r>
            <w:proofErr w:type="spellEnd"/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of</w:t>
            </w:r>
            <w:proofErr w:type="spellEnd"/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Memnon</w:t>
            </w:r>
            <w:proofErr w:type="spellEnd"/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and Amenhotep III Temple </w:t>
            </w:r>
            <w:proofErr w:type="spellStart"/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Conservation</w:t>
            </w:r>
            <w:proofErr w:type="spellEnd"/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Project</w:t>
            </w:r>
            <w:r w:rsidRPr="007205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359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(Luxor)</w:t>
            </w:r>
            <w:r w:rsidR="000A3B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titulada </w:t>
            </w:r>
            <w:proofErr w:type="spellStart"/>
            <w:r w:rsidR="000A3B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="000A3B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A3B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statues</w:t>
            </w:r>
            <w:proofErr w:type="spellEnd"/>
            <w:r w:rsidR="000A3B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A3B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beyond</w:t>
            </w:r>
            <w:proofErr w:type="spellEnd"/>
            <w:r w:rsidR="000A3B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A3B5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Memnon</w:t>
            </w:r>
            <w:proofErr w:type="spellEnd"/>
          </w:p>
        </w:tc>
      </w:tr>
      <w:tr w:rsidR="00A01C95" w:rsidRPr="00720580" w14:paraId="6B3A104F" w14:textId="77777777" w:rsidTr="00A01C95">
        <w:trPr>
          <w:trHeight w:val="6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100767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19:00-20:00</w:t>
            </w:r>
          </w:p>
          <w:p w14:paraId="4BF8CB57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A90A" w14:textId="77777777" w:rsidR="00720580" w:rsidRPr="00720580" w:rsidRDefault="007205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B5B5" w14:textId="77777777" w:rsidR="00720580" w:rsidRPr="00720580" w:rsidRDefault="007205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8C3" w14:textId="77777777" w:rsidR="00720580" w:rsidRPr="00720580" w:rsidRDefault="00720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09AD" w14:textId="77777777" w:rsidR="00720580" w:rsidRPr="00720580" w:rsidRDefault="00720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BD43D" w14:textId="77777777" w:rsidR="00720580" w:rsidRPr="00720580" w:rsidRDefault="00720580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580">
              <w:rPr>
                <w:rFonts w:ascii="Times New Roman" w:hAnsi="Times New Roman" w:cs="Times New Roman"/>
                <w:sz w:val="20"/>
                <w:szCs w:val="20"/>
              </w:rPr>
              <w:t>Espacio de taller y reflexión</w:t>
            </w:r>
          </w:p>
        </w:tc>
      </w:tr>
    </w:tbl>
    <w:p w14:paraId="16A58657" w14:textId="0EC52317" w:rsidR="00497507" w:rsidRPr="00664561" w:rsidRDefault="00497507" w:rsidP="0035702B">
      <w:pPr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</w:p>
    <w:p w14:paraId="131409A2" w14:textId="77777777" w:rsidR="0035702B" w:rsidRPr="00664561" w:rsidRDefault="0035702B" w:rsidP="0035702B">
      <w:pPr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</w:p>
    <w:sectPr w:rsidR="0035702B" w:rsidRPr="00664561" w:rsidSect="00E0318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3B19" w14:textId="77777777" w:rsidR="0067572A" w:rsidRDefault="0067572A" w:rsidP="002016AD">
      <w:r>
        <w:separator/>
      </w:r>
    </w:p>
  </w:endnote>
  <w:endnote w:type="continuationSeparator" w:id="0">
    <w:p w14:paraId="727C9C3B" w14:textId="77777777" w:rsidR="0067572A" w:rsidRDefault="0067572A" w:rsidP="0020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522" w14:textId="29E6E60F" w:rsidR="00497507" w:rsidRDefault="008C2A0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2804">
      <w:rPr>
        <w:noProof/>
      </w:rPr>
      <w:t>2</w:t>
    </w:r>
    <w:r>
      <w:rPr>
        <w:noProof/>
      </w:rPr>
      <w:fldChar w:fldCharType="end"/>
    </w:r>
  </w:p>
  <w:p w14:paraId="2F0B4E77" w14:textId="77777777" w:rsidR="00497507" w:rsidRDefault="004975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6C25" w14:textId="77777777" w:rsidR="0067572A" w:rsidRDefault="0067572A" w:rsidP="002016AD">
      <w:r>
        <w:separator/>
      </w:r>
    </w:p>
  </w:footnote>
  <w:footnote w:type="continuationSeparator" w:id="0">
    <w:p w14:paraId="5AE14771" w14:textId="77777777" w:rsidR="0067572A" w:rsidRDefault="0067572A" w:rsidP="0020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DB"/>
    <w:multiLevelType w:val="hybridMultilevel"/>
    <w:tmpl w:val="5C385C08"/>
    <w:lvl w:ilvl="0" w:tplc="B83ECFB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A8"/>
    <w:rsid w:val="000376FF"/>
    <w:rsid w:val="000572B6"/>
    <w:rsid w:val="00077704"/>
    <w:rsid w:val="00086C46"/>
    <w:rsid w:val="000A3B54"/>
    <w:rsid w:val="000B7918"/>
    <w:rsid w:val="000C0529"/>
    <w:rsid w:val="0010416A"/>
    <w:rsid w:val="001079A9"/>
    <w:rsid w:val="00111BB8"/>
    <w:rsid w:val="00121562"/>
    <w:rsid w:val="00132123"/>
    <w:rsid w:val="00135974"/>
    <w:rsid w:val="00143874"/>
    <w:rsid w:val="00154C36"/>
    <w:rsid w:val="001600A8"/>
    <w:rsid w:val="001644D5"/>
    <w:rsid w:val="00173E45"/>
    <w:rsid w:val="0018241B"/>
    <w:rsid w:val="00183EE7"/>
    <w:rsid w:val="00185C43"/>
    <w:rsid w:val="00196015"/>
    <w:rsid w:val="001979EE"/>
    <w:rsid w:val="00197CA0"/>
    <w:rsid w:val="00197EC5"/>
    <w:rsid w:val="001B2F83"/>
    <w:rsid w:val="001B3883"/>
    <w:rsid w:val="001C7B3E"/>
    <w:rsid w:val="001E4E20"/>
    <w:rsid w:val="001F1834"/>
    <w:rsid w:val="001F634E"/>
    <w:rsid w:val="002016AD"/>
    <w:rsid w:val="0020484B"/>
    <w:rsid w:val="00246D49"/>
    <w:rsid w:val="0025461E"/>
    <w:rsid w:val="00255AED"/>
    <w:rsid w:val="00260D33"/>
    <w:rsid w:val="00261FC6"/>
    <w:rsid w:val="00295C1E"/>
    <w:rsid w:val="002A428F"/>
    <w:rsid w:val="002B69EA"/>
    <w:rsid w:val="002D0376"/>
    <w:rsid w:val="002F7E30"/>
    <w:rsid w:val="00303DF5"/>
    <w:rsid w:val="00350AFA"/>
    <w:rsid w:val="0035702B"/>
    <w:rsid w:val="00361EA8"/>
    <w:rsid w:val="003646A7"/>
    <w:rsid w:val="0038611D"/>
    <w:rsid w:val="00394ED2"/>
    <w:rsid w:val="003A1235"/>
    <w:rsid w:val="003C2A81"/>
    <w:rsid w:val="003E0A65"/>
    <w:rsid w:val="00400DF3"/>
    <w:rsid w:val="00402436"/>
    <w:rsid w:val="00406979"/>
    <w:rsid w:val="0042529F"/>
    <w:rsid w:val="00432A2C"/>
    <w:rsid w:val="00456750"/>
    <w:rsid w:val="004613E1"/>
    <w:rsid w:val="00470E5F"/>
    <w:rsid w:val="00480087"/>
    <w:rsid w:val="00494C14"/>
    <w:rsid w:val="00497507"/>
    <w:rsid w:val="004A0F56"/>
    <w:rsid w:val="004A5102"/>
    <w:rsid w:val="004B3571"/>
    <w:rsid w:val="004C3771"/>
    <w:rsid w:val="004D029C"/>
    <w:rsid w:val="004E0AAB"/>
    <w:rsid w:val="004E6B48"/>
    <w:rsid w:val="00517F09"/>
    <w:rsid w:val="005345BA"/>
    <w:rsid w:val="005378C6"/>
    <w:rsid w:val="00543183"/>
    <w:rsid w:val="00556E83"/>
    <w:rsid w:val="005A380E"/>
    <w:rsid w:val="005A3B0E"/>
    <w:rsid w:val="005A743C"/>
    <w:rsid w:val="005B0DCC"/>
    <w:rsid w:val="005B50C9"/>
    <w:rsid w:val="005C5461"/>
    <w:rsid w:val="005C6524"/>
    <w:rsid w:val="005E3125"/>
    <w:rsid w:val="005F28CA"/>
    <w:rsid w:val="005F347B"/>
    <w:rsid w:val="00617219"/>
    <w:rsid w:val="00635558"/>
    <w:rsid w:val="00653699"/>
    <w:rsid w:val="00664561"/>
    <w:rsid w:val="0067572A"/>
    <w:rsid w:val="006905FC"/>
    <w:rsid w:val="00695628"/>
    <w:rsid w:val="00697BF0"/>
    <w:rsid w:val="006B435F"/>
    <w:rsid w:val="006C0520"/>
    <w:rsid w:val="006C4E60"/>
    <w:rsid w:val="00700882"/>
    <w:rsid w:val="00720580"/>
    <w:rsid w:val="0072368E"/>
    <w:rsid w:val="00723D81"/>
    <w:rsid w:val="00732B7C"/>
    <w:rsid w:val="00782556"/>
    <w:rsid w:val="00783631"/>
    <w:rsid w:val="007C2E34"/>
    <w:rsid w:val="007D7517"/>
    <w:rsid w:val="007F4606"/>
    <w:rsid w:val="00800D5F"/>
    <w:rsid w:val="00817BC7"/>
    <w:rsid w:val="00844A64"/>
    <w:rsid w:val="00846B95"/>
    <w:rsid w:val="00897D3E"/>
    <w:rsid w:val="008B0FCA"/>
    <w:rsid w:val="008B2B8C"/>
    <w:rsid w:val="008B5D7C"/>
    <w:rsid w:val="008C1159"/>
    <w:rsid w:val="008C131B"/>
    <w:rsid w:val="008C2A0D"/>
    <w:rsid w:val="008E2016"/>
    <w:rsid w:val="00902B07"/>
    <w:rsid w:val="00902FEC"/>
    <w:rsid w:val="0094281C"/>
    <w:rsid w:val="009473C6"/>
    <w:rsid w:val="00961138"/>
    <w:rsid w:val="00966E03"/>
    <w:rsid w:val="009A4D00"/>
    <w:rsid w:val="009B39C3"/>
    <w:rsid w:val="009B5D4E"/>
    <w:rsid w:val="009C7E8B"/>
    <w:rsid w:val="009D3B68"/>
    <w:rsid w:val="00A01C95"/>
    <w:rsid w:val="00A02B18"/>
    <w:rsid w:val="00A10DE5"/>
    <w:rsid w:val="00A153C8"/>
    <w:rsid w:val="00A204AD"/>
    <w:rsid w:val="00A27230"/>
    <w:rsid w:val="00A360BF"/>
    <w:rsid w:val="00A36EBC"/>
    <w:rsid w:val="00A51610"/>
    <w:rsid w:val="00A61F3D"/>
    <w:rsid w:val="00A720E7"/>
    <w:rsid w:val="00A75CEC"/>
    <w:rsid w:val="00A86DE3"/>
    <w:rsid w:val="00AB4998"/>
    <w:rsid w:val="00AE4BEA"/>
    <w:rsid w:val="00AE6E74"/>
    <w:rsid w:val="00B003AC"/>
    <w:rsid w:val="00B4028D"/>
    <w:rsid w:val="00B7691A"/>
    <w:rsid w:val="00B92F42"/>
    <w:rsid w:val="00BA3117"/>
    <w:rsid w:val="00BB0602"/>
    <w:rsid w:val="00BB1932"/>
    <w:rsid w:val="00BB1DAF"/>
    <w:rsid w:val="00BB2A3E"/>
    <w:rsid w:val="00BB445C"/>
    <w:rsid w:val="00BC6F50"/>
    <w:rsid w:val="00BD387C"/>
    <w:rsid w:val="00BD43E4"/>
    <w:rsid w:val="00C03EDC"/>
    <w:rsid w:val="00C056BE"/>
    <w:rsid w:val="00C127CB"/>
    <w:rsid w:val="00C140F8"/>
    <w:rsid w:val="00C31B1A"/>
    <w:rsid w:val="00C40F47"/>
    <w:rsid w:val="00C459C9"/>
    <w:rsid w:val="00C512E7"/>
    <w:rsid w:val="00C53A96"/>
    <w:rsid w:val="00C55839"/>
    <w:rsid w:val="00C607D9"/>
    <w:rsid w:val="00C85D2F"/>
    <w:rsid w:val="00C945FC"/>
    <w:rsid w:val="00CB1E4E"/>
    <w:rsid w:val="00CB6376"/>
    <w:rsid w:val="00CC1566"/>
    <w:rsid w:val="00CD0112"/>
    <w:rsid w:val="00CD3A08"/>
    <w:rsid w:val="00CD4371"/>
    <w:rsid w:val="00CD4C17"/>
    <w:rsid w:val="00CF19DA"/>
    <w:rsid w:val="00D01568"/>
    <w:rsid w:val="00D0304B"/>
    <w:rsid w:val="00D06E8D"/>
    <w:rsid w:val="00D250F7"/>
    <w:rsid w:val="00D515A7"/>
    <w:rsid w:val="00D538C3"/>
    <w:rsid w:val="00D54870"/>
    <w:rsid w:val="00D57F10"/>
    <w:rsid w:val="00D72669"/>
    <w:rsid w:val="00D73DD3"/>
    <w:rsid w:val="00D85E4A"/>
    <w:rsid w:val="00D9076D"/>
    <w:rsid w:val="00DB2280"/>
    <w:rsid w:val="00DB789C"/>
    <w:rsid w:val="00DB7DC8"/>
    <w:rsid w:val="00DC173C"/>
    <w:rsid w:val="00DE1E9D"/>
    <w:rsid w:val="00DF4071"/>
    <w:rsid w:val="00E01ED9"/>
    <w:rsid w:val="00E0318F"/>
    <w:rsid w:val="00E04B13"/>
    <w:rsid w:val="00E05B58"/>
    <w:rsid w:val="00E073E1"/>
    <w:rsid w:val="00E3111D"/>
    <w:rsid w:val="00E44773"/>
    <w:rsid w:val="00E84C33"/>
    <w:rsid w:val="00E90BC6"/>
    <w:rsid w:val="00E92804"/>
    <w:rsid w:val="00E97A02"/>
    <w:rsid w:val="00EB3C95"/>
    <w:rsid w:val="00EC4345"/>
    <w:rsid w:val="00ED7B1C"/>
    <w:rsid w:val="00EE7E27"/>
    <w:rsid w:val="00EF76C9"/>
    <w:rsid w:val="00F04282"/>
    <w:rsid w:val="00F55CB7"/>
    <w:rsid w:val="00F67AF0"/>
    <w:rsid w:val="00F915E2"/>
    <w:rsid w:val="00FB15A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7E603"/>
  <w15:docId w15:val="{6E5CFBED-8BBC-4667-A4E3-B7827870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69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61E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1EA8"/>
    <w:rPr>
      <w:rFonts w:ascii="Tahoma" w:hAnsi="Tahoma" w:cs="Tahoma"/>
      <w:sz w:val="16"/>
      <w:szCs w:val="16"/>
    </w:rPr>
  </w:style>
  <w:style w:type="paragraph" w:styleId="Cita">
    <w:name w:val="Quote"/>
    <w:basedOn w:val="Normal"/>
    <w:next w:val="Normal"/>
    <w:link w:val="CitaCar"/>
    <w:uiPriority w:val="99"/>
    <w:qFormat/>
    <w:rsid w:val="00F915E2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99"/>
    <w:locked/>
    <w:rsid w:val="00F915E2"/>
    <w:rPr>
      <w:i/>
      <w:iCs/>
      <w:color w:val="000000"/>
    </w:rPr>
  </w:style>
  <w:style w:type="paragraph" w:styleId="Encabezado">
    <w:name w:val="header"/>
    <w:basedOn w:val="Normal"/>
    <w:link w:val="EncabezadoCar"/>
    <w:uiPriority w:val="99"/>
    <w:semiHidden/>
    <w:rsid w:val="002016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016AD"/>
  </w:style>
  <w:style w:type="paragraph" w:styleId="Piedepgina">
    <w:name w:val="footer"/>
    <w:basedOn w:val="Normal"/>
    <w:link w:val="PiedepginaCar"/>
    <w:uiPriority w:val="99"/>
    <w:rsid w:val="002016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016AD"/>
  </w:style>
  <w:style w:type="table" w:styleId="Tablaconcuadrcula">
    <w:name w:val="Table Grid"/>
    <w:basedOn w:val="Tablanormal"/>
    <w:uiPriority w:val="39"/>
    <w:locked/>
    <w:rsid w:val="00EE7E2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C15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5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566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5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566"/>
    <w:rPr>
      <w:b/>
      <w:bCs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7D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linda chapon</cp:lastModifiedBy>
  <cp:revision>82</cp:revision>
  <dcterms:created xsi:type="dcterms:W3CDTF">2020-06-23T15:07:00Z</dcterms:created>
  <dcterms:modified xsi:type="dcterms:W3CDTF">2021-10-22T05:10:00Z</dcterms:modified>
</cp:coreProperties>
</file>